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ED98C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680FDE" w:rsidRPr="00680FDE">
        <w:rPr>
          <w:b/>
        </w:rPr>
        <w:t>1</w:t>
      </w:r>
    </w:p>
    <w:p w14:paraId="37CC9997" w14:textId="73D78488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32327D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50187D">
        <w:rPr>
          <w:rFonts w:ascii="Calibri" w:eastAsia="Times New Roman" w:hAnsi="Calibri" w:cs="Calibri"/>
          <w:b/>
          <w:sz w:val="20"/>
          <w:szCs w:val="24"/>
          <w:lang w:eastAsia="pl-PL"/>
        </w:rPr>
        <w:t>3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3F2D0581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D3902ED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4F320880" w14:textId="77777777" w:rsidR="00835625" w:rsidRPr="00680FDE" w:rsidRDefault="00161220" w:rsidP="008356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0"/>
        </w:rPr>
      </w:pPr>
      <w:r>
        <w:rPr>
          <w:rFonts w:ascii="Calibri" w:hAnsi="Calibri" w:cs="Calibri"/>
          <w:b/>
          <w:bCs/>
          <w:color w:val="C00000"/>
          <w:sz w:val="28"/>
          <w:szCs w:val="20"/>
        </w:rPr>
        <w:t>SZCZEGÓŁOWY ZAKRES PRZEDM</w:t>
      </w:r>
      <w:r w:rsidR="00E16D6D" w:rsidRPr="00680FDE">
        <w:rPr>
          <w:rFonts w:ascii="Calibri" w:hAnsi="Calibri" w:cs="Calibri"/>
          <w:b/>
          <w:bCs/>
          <w:color w:val="C00000"/>
          <w:sz w:val="28"/>
          <w:szCs w:val="20"/>
        </w:rPr>
        <w:t>I</w:t>
      </w:r>
      <w:r>
        <w:rPr>
          <w:rFonts w:ascii="Calibri" w:hAnsi="Calibri" w:cs="Calibri"/>
          <w:b/>
          <w:bCs/>
          <w:color w:val="C00000"/>
          <w:sz w:val="28"/>
          <w:szCs w:val="20"/>
        </w:rPr>
        <w:t>OT</w:t>
      </w:r>
      <w:r w:rsidR="00261387" w:rsidRPr="00680FDE">
        <w:rPr>
          <w:rFonts w:ascii="Calibri" w:hAnsi="Calibri" w:cs="Calibri"/>
          <w:b/>
          <w:bCs/>
          <w:color w:val="C00000"/>
          <w:sz w:val="28"/>
          <w:szCs w:val="20"/>
        </w:rPr>
        <w:t xml:space="preserve">U   </w:t>
      </w:r>
      <w:r w:rsidR="00835625" w:rsidRPr="00680FDE">
        <w:rPr>
          <w:rFonts w:ascii="Calibri" w:hAnsi="Calibri" w:cs="Calibri"/>
          <w:b/>
          <w:bCs/>
          <w:color w:val="C00000"/>
          <w:sz w:val="28"/>
          <w:szCs w:val="20"/>
        </w:rPr>
        <w:t xml:space="preserve"> </w:t>
      </w:r>
    </w:p>
    <w:p w14:paraId="4D7CFE80" w14:textId="77777777" w:rsidR="00261387" w:rsidRDefault="00161220" w:rsidP="0016122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0"/>
        </w:rPr>
      </w:pPr>
      <w:r>
        <w:rPr>
          <w:rFonts w:ascii="Calibri" w:hAnsi="Calibri" w:cs="Calibri"/>
          <w:b/>
          <w:bCs/>
          <w:color w:val="C00000"/>
          <w:sz w:val="28"/>
          <w:szCs w:val="20"/>
        </w:rPr>
        <w:t>POSTĘPOWANIA KONKURENCYJNEG</w:t>
      </w:r>
      <w:r w:rsidR="00E16D6D" w:rsidRPr="00680FDE">
        <w:rPr>
          <w:rFonts w:ascii="Calibri" w:hAnsi="Calibri" w:cs="Calibri"/>
          <w:b/>
          <w:bCs/>
          <w:color w:val="C00000"/>
          <w:sz w:val="28"/>
          <w:szCs w:val="20"/>
        </w:rPr>
        <w:t>O</w:t>
      </w:r>
    </w:p>
    <w:p w14:paraId="4F3C52D6" w14:textId="1665F594" w:rsidR="00161220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  <w:szCs w:val="24"/>
        </w:rPr>
      </w:pPr>
      <w:r w:rsidRPr="005B389A">
        <w:rPr>
          <w:rFonts w:ascii="Calibri" w:hAnsi="Calibri" w:cs="Calibri"/>
          <w:b/>
          <w:bCs/>
          <w:color w:val="C00000"/>
          <w:szCs w:val="24"/>
        </w:rPr>
        <w:t>(</w:t>
      </w:r>
      <w:r w:rsidR="005B389A" w:rsidRPr="0032327D">
        <w:rPr>
          <w:rFonts w:ascii="Calibri" w:hAnsi="Calibri" w:cs="Calibri"/>
          <w:b/>
          <w:bCs/>
          <w:color w:val="C00000"/>
          <w:szCs w:val="24"/>
        </w:rPr>
        <w:t>dotyczy</w:t>
      </w:r>
      <w:r w:rsidR="0032327D" w:rsidRPr="0032327D">
        <w:rPr>
          <w:rFonts w:ascii="Calibri" w:hAnsi="Calibri" w:cs="Calibri"/>
          <w:b/>
          <w:bCs/>
          <w:color w:val="C00000"/>
          <w:szCs w:val="24"/>
        </w:rPr>
        <w:t xml:space="preserve"> </w:t>
      </w:r>
      <w:r w:rsidR="0032327D" w:rsidRPr="0032327D">
        <w:rPr>
          <w:b/>
          <w:color w:val="C00000"/>
        </w:rPr>
        <w:t>dostawy fabrycznie nowych urządzeń medycznych i sprzętu oraz wyposażenia medycznego zwiększającego dostępność Przychodni „Mój Lekarz” w Sochaczewie dla osób ze szczególnymi potrzebami, wraz z rozpakowaniem i utylizacją opakowań</w:t>
      </w:r>
      <w:r w:rsidRPr="0032327D">
        <w:rPr>
          <w:b/>
          <w:color w:val="C00000"/>
          <w:szCs w:val="24"/>
        </w:rPr>
        <w:t>)</w:t>
      </w:r>
      <w:r w:rsidR="00621DA2">
        <w:rPr>
          <w:b/>
          <w:color w:val="C00000"/>
          <w:szCs w:val="24"/>
        </w:rPr>
        <w:t>.</w:t>
      </w:r>
    </w:p>
    <w:p w14:paraId="5842A984" w14:textId="77777777" w:rsidR="0032327D" w:rsidRDefault="0032327D" w:rsidP="0032327D">
      <w:pPr>
        <w:suppressAutoHyphens/>
        <w:spacing w:after="0" w:line="276" w:lineRule="auto"/>
        <w:jc w:val="both"/>
        <w:rPr>
          <w:rFonts w:ascii="Calibri" w:hAnsi="Calibri" w:cs="Calibri"/>
          <w:b/>
          <w:bCs/>
          <w:color w:val="C00000"/>
          <w:szCs w:val="24"/>
        </w:rPr>
      </w:pPr>
    </w:p>
    <w:p w14:paraId="106E1BA0" w14:textId="3F030085" w:rsidR="00B24A6C" w:rsidRPr="009A439E" w:rsidRDefault="00B24A6C" w:rsidP="009A439E">
      <w:pPr>
        <w:suppressAutoHyphens/>
        <w:spacing w:after="0" w:line="276" w:lineRule="auto"/>
        <w:jc w:val="both"/>
        <w:rPr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00"/>
        <w:gridCol w:w="2747"/>
        <w:gridCol w:w="1329"/>
        <w:gridCol w:w="9053"/>
      </w:tblGrid>
      <w:tr w:rsidR="00B24A6C" w14:paraId="168264D3" w14:textId="77777777" w:rsidTr="00E2660D">
        <w:trPr>
          <w:trHeight w:val="510"/>
        </w:trPr>
        <w:tc>
          <w:tcPr>
            <w:tcW w:w="900" w:type="dxa"/>
            <w:shd w:val="clear" w:color="auto" w:fill="E7E6E6" w:themeFill="background2"/>
            <w:vAlign w:val="center"/>
          </w:tcPr>
          <w:p w14:paraId="6B268777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2747" w:type="dxa"/>
            <w:shd w:val="clear" w:color="auto" w:fill="E7E6E6" w:themeFill="background2"/>
            <w:vAlign w:val="center"/>
          </w:tcPr>
          <w:p w14:paraId="4027BEDD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4FD20E02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053" w:type="dxa"/>
            <w:shd w:val="clear" w:color="auto" w:fill="E7E6E6" w:themeFill="background2"/>
            <w:vAlign w:val="center"/>
          </w:tcPr>
          <w:p w14:paraId="487047E1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Cechy</w:t>
            </w:r>
            <w:r w:rsidR="00667952">
              <w:rPr>
                <w:b/>
              </w:rPr>
              <w:t xml:space="preserve"> funkcjonalne/użytkowe</w:t>
            </w:r>
            <w:r>
              <w:rPr>
                <w:b/>
              </w:rPr>
              <w:t>, parametry towaru</w:t>
            </w:r>
          </w:p>
        </w:tc>
      </w:tr>
      <w:tr w:rsidR="00E2660D" w:rsidRPr="009D3E0E" w14:paraId="157AAA95" w14:textId="77777777" w:rsidTr="00E2660D">
        <w:tc>
          <w:tcPr>
            <w:tcW w:w="900" w:type="dxa"/>
          </w:tcPr>
          <w:p w14:paraId="15CFD744" w14:textId="77777777" w:rsidR="00E2660D" w:rsidRPr="009D3E0E" w:rsidRDefault="00E2660D" w:rsidP="00563471">
            <w:pPr>
              <w:spacing w:line="276" w:lineRule="auto"/>
              <w:jc w:val="center"/>
            </w:pPr>
            <w:r w:rsidRPr="009D3E0E">
              <w:t>1</w:t>
            </w:r>
          </w:p>
        </w:tc>
        <w:tc>
          <w:tcPr>
            <w:tcW w:w="2747" w:type="dxa"/>
          </w:tcPr>
          <w:p w14:paraId="6181FDAE" w14:textId="77777777" w:rsidR="00E2660D" w:rsidRPr="009D3E0E" w:rsidRDefault="00E2660D" w:rsidP="00563471">
            <w:pPr>
              <w:spacing w:line="276" w:lineRule="auto"/>
              <w:rPr>
                <w:b/>
              </w:rPr>
            </w:pPr>
            <w:r w:rsidRPr="009D3E0E">
              <w:t>waga medyczna ze wzrostomierzem</w:t>
            </w:r>
          </w:p>
        </w:tc>
        <w:tc>
          <w:tcPr>
            <w:tcW w:w="1329" w:type="dxa"/>
          </w:tcPr>
          <w:p w14:paraId="52EDDBF8" w14:textId="77777777" w:rsidR="00E2660D" w:rsidRPr="009D3E0E" w:rsidRDefault="00E2660D" w:rsidP="00563471">
            <w:pPr>
              <w:spacing w:line="276" w:lineRule="auto"/>
              <w:jc w:val="center"/>
            </w:pPr>
            <w:r w:rsidRPr="009D3E0E">
              <w:t>2 szt.</w:t>
            </w:r>
          </w:p>
        </w:tc>
        <w:tc>
          <w:tcPr>
            <w:tcW w:w="9053" w:type="dxa"/>
          </w:tcPr>
          <w:p w14:paraId="0A1C982E" w14:textId="77777777" w:rsidR="00E2660D" w:rsidRPr="002846BC" w:rsidRDefault="00E2660D" w:rsidP="00563471">
            <w:pPr>
              <w:spacing w:before="100" w:beforeAutospacing="1" w:after="100" w:afterAutospacing="1"/>
              <w:rPr>
                <w:rFonts w:cstheme="minorHAnsi"/>
                <w:szCs w:val="24"/>
              </w:rPr>
            </w:pPr>
            <w:r w:rsidRPr="00443B54">
              <w:rPr>
                <w:rFonts w:cstheme="minorHAnsi"/>
                <w:b/>
                <w:bCs/>
                <w:szCs w:val="24"/>
              </w:rPr>
              <w:t>Legalizowana waga kolumnowa lekarska</w:t>
            </w:r>
            <w:r w:rsidRPr="002846BC">
              <w:rPr>
                <w:rFonts w:cstheme="minorHAnsi"/>
                <w:szCs w:val="24"/>
              </w:rPr>
              <w:t xml:space="preserve"> do pomiaru wagi ciała pacjentów, trwała metalowa, zamknięta konstrukcja (brak zewnętrznych przewodów), wysoka jakość wykonania, możliwość pracy w środowisku podwyższonego promieniowania elektromagnetycznego. Parametry techniczne minimum:</w:t>
            </w:r>
          </w:p>
          <w:p w14:paraId="0606E372" w14:textId="77777777" w:rsidR="00E2660D" w:rsidRPr="002846BC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Cs w:val="24"/>
              </w:rPr>
            </w:pPr>
            <w:r w:rsidRPr="002846BC">
              <w:rPr>
                <w:rFonts w:cstheme="minorHAnsi"/>
                <w:szCs w:val="24"/>
              </w:rPr>
              <w:t xml:space="preserve">trwała metalowa konstrukcja </w:t>
            </w:r>
            <w:r w:rsidRPr="002846BC">
              <w:rPr>
                <w:rFonts w:cstheme="minorHAnsi"/>
                <w:b/>
                <w:bCs/>
                <w:szCs w:val="24"/>
              </w:rPr>
              <w:t>wagi z monolityczną podstawą</w:t>
            </w:r>
            <w:r w:rsidRPr="002846BC">
              <w:rPr>
                <w:rFonts w:cstheme="minorHAnsi"/>
                <w:szCs w:val="24"/>
              </w:rPr>
              <w:t xml:space="preserve"> uławiającą przenoszenie wagi,</w:t>
            </w:r>
          </w:p>
          <w:p w14:paraId="515051DF" w14:textId="77777777" w:rsidR="00E2660D" w:rsidRPr="002846BC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Cs w:val="24"/>
              </w:rPr>
            </w:pPr>
            <w:r w:rsidRPr="002846BC">
              <w:rPr>
                <w:rFonts w:cstheme="minorHAnsi"/>
                <w:b/>
                <w:bCs/>
                <w:szCs w:val="24"/>
              </w:rPr>
              <w:t>brak okablowania zewnętrznego</w:t>
            </w:r>
            <w:r w:rsidRPr="002846BC">
              <w:rPr>
                <w:rFonts w:cstheme="minorHAnsi"/>
                <w:szCs w:val="24"/>
              </w:rPr>
              <w:t xml:space="preserve"> między platformą wagową a panelem - miernikiem wagowym,</w:t>
            </w:r>
          </w:p>
          <w:p w14:paraId="1161C077" w14:textId="77777777" w:rsidR="00E2660D" w:rsidRPr="002846BC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Cs w:val="24"/>
              </w:rPr>
            </w:pPr>
            <w:r w:rsidRPr="002846BC">
              <w:rPr>
                <w:rFonts w:cstheme="minorHAnsi"/>
                <w:b/>
                <w:bCs/>
                <w:szCs w:val="24"/>
              </w:rPr>
              <w:t>dokładność 100 g w całym zakresie pomiaru</w:t>
            </w:r>
            <w:r w:rsidRPr="002846BC">
              <w:rPr>
                <w:rFonts w:cstheme="minorHAnsi"/>
                <w:szCs w:val="24"/>
              </w:rPr>
              <w:t>,</w:t>
            </w:r>
          </w:p>
          <w:p w14:paraId="6E2150A5" w14:textId="77777777" w:rsidR="00E2660D" w:rsidRPr="002846BC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Cs w:val="24"/>
              </w:rPr>
            </w:pPr>
            <w:r w:rsidRPr="002846BC">
              <w:rPr>
                <w:rFonts w:cstheme="minorHAnsi"/>
                <w:szCs w:val="24"/>
              </w:rPr>
              <w:t xml:space="preserve">estetyczny i trwały wzrostomierz mierzący </w:t>
            </w:r>
            <w:r w:rsidRPr="002846BC">
              <w:rPr>
                <w:rFonts w:cstheme="minorHAnsi"/>
                <w:b/>
                <w:bCs/>
                <w:szCs w:val="24"/>
              </w:rPr>
              <w:t>od 60 do 210 cm</w:t>
            </w:r>
            <w:r w:rsidRPr="002846BC">
              <w:rPr>
                <w:rFonts w:cstheme="minorHAnsi"/>
                <w:szCs w:val="24"/>
              </w:rPr>
              <w:t xml:space="preserve"> (w zestawie),</w:t>
            </w:r>
          </w:p>
          <w:p w14:paraId="0F1FCBB8" w14:textId="77777777" w:rsidR="00E2660D" w:rsidRPr="002846BC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Cs w:val="24"/>
              </w:rPr>
            </w:pPr>
            <w:r w:rsidRPr="002846BC">
              <w:rPr>
                <w:rFonts w:cstheme="minorHAnsi"/>
                <w:szCs w:val="24"/>
              </w:rPr>
              <w:t xml:space="preserve">Waga medyczna  posiada możliwość wyznaczania </w:t>
            </w:r>
            <w:r w:rsidRPr="002846BC">
              <w:rPr>
                <w:rFonts w:cstheme="minorHAnsi"/>
                <w:b/>
                <w:bCs/>
                <w:szCs w:val="24"/>
              </w:rPr>
              <w:t>wskaźnika masy ciała BMI</w:t>
            </w:r>
            <w:r w:rsidRPr="002846BC">
              <w:rPr>
                <w:rFonts w:cstheme="minorHAnsi"/>
                <w:szCs w:val="24"/>
              </w:rPr>
              <w:t xml:space="preserve"> (Body Mass Index) przy wzroście </w:t>
            </w:r>
            <w:r w:rsidRPr="002846BC">
              <w:rPr>
                <w:rFonts w:cstheme="minorHAnsi"/>
                <w:b/>
                <w:bCs/>
                <w:szCs w:val="24"/>
              </w:rPr>
              <w:t>powyżej 60 cm</w:t>
            </w:r>
            <w:r w:rsidRPr="002846BC">
              <w:rPr>
                <w:rFonts w:cstheme="minorHAnsi"/>
                <w:szCs w:val="24"/>
              </w:rPr>
              <w:t xml:space="preserve">. Wskaźnik BMI jest wyznaczany po wpisaniu do wagi wartości wzrostu odczytanej ze wzrostomierza. Waga oblicza również </w:t>
            </w:r>
            <w:r w:rsidRPr="002846BC">
              <w:rPr>
                <w:rFonts w:cstheme="minorHAnsi"/>
                <w:b/>
                <w:bCs/>
                <w:szCs w:val="24"/>
              </w:rPr>
              <w:t>BSA</w:t>
            </w:r>
            <w:r w:rsidRPr="002846BC">
              <w:rPr>
                <w:rFonts w:cstheme="minorHAnsi"/>
                <w:szCs w:val="24"/>
              </w:rPr>
              <w:t xml:space="preserve"> czyli powierzchnię ciała pacjenta - (Body Surface </w:t>
            </w:r>
            <w:proofErr w:type="spellStart"/>
            <w:r w:rsidRPr="002846BC">
              <w:rPr>
                <w:rFonts w:cstheme="minorHAnsi"/>
                <w:szCs w:val="24"/>
              </w:rPr>
              <w:t>Area</w:t>
            </w:r>
            <w:proofErr w:type="spellEnd"/>
            <w:r w:rsidRPr="002846BC">
              <w:rPr>
                <w:rFonts w:cstheme="minorHAnsi"/>
                <w:szCs w:val="24"/>
              </w:rPr>
              <w:t>).</w:t>
            </w:r>
          </w:p>
          <w:p w14:paraId="51D71C66" w14:textId="77777777" w:rsidR="00E2660D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2846BC">
              <w:rPr>
                <w:rFonts w:cstheme="minorHAnsi"/>
                <w:b/>
                <w:bCs/>
                <w:szCs w:val="24"/>
              </w:rPr>
              <w:lastRenderedPageBreak/>
              <w:t>Podłączenie do komputera</w:t>
            </w:r>
            <w:r w:rsidRPr="002846BC">
              <w:rPr>
                <w:rFonts w:cstheme="minorHAnsi"/>
                <w:szCs w:val="24"/>
              </w:rPr>
              <w:t xml:space="preserve"> przez standardowy przewód USB (w zestawie) pozwala na transmisję danych </w:t>
            </w:r>
            <w:r w:rsidRPr="00BC610B">
              <w:rPr>
                <w:rFonts w:cstheme="minorHAnsi"/>
              </w:rPr>
              <w:t>pomiarowych.</w:t>
            </w:r>
          </w:p>
          <w:p w14:paraId="446944A1" w14:textId="081EBFD9" w:rsidR="00E2660D" w:rsidRPr="009D3E0E" w:rsidRDefault="00E2660D" w:rsidP="008A634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b/>
                <w:bCs/>
              </w:rPr>
              <w:t>Waga</w:t>
            </w:r>
            <w:r w:rsidRPr="00BC610B">
              <w:rPr>
                <w:b/>
                <w:bCs/>
              </w:rPr>
              <w:t xml:space="preserve"> medyczna ze wzrostomierzem o udźwigu do 200 kg</w:t>
            </w:r>
            <w:r w:rsidRPr="00BC610B">
              <w:rPr>
                <w:b/>
                <w:bCs/>
                <w:i/>
                <w:iCs/>
              </w:rPr>
              <w:t>.</w:t>
            </w:r>
            <w:r w:rsidRPr="00BC610B">
              <w:rPr>
                <w:i/>
                <w:iCs/>
              </w:rPr>
              <w:t xml:space="preserve"> </w:t>
            </w:r>
            <w:r w:rsidRPr="00BC610B">
              <w:rPr>
                <w:rFonts w:cstheme="minorHAnsi"/>
              </w:rPr>
              <w:t>Waga powinna posiadać świadectwo kompatybilności elektromagnetycznej, co gwarantuje dokładny pomiar w pomieszczeniu, w którym działają inne urządzenia emitujące fale radiowe np. telefony komórkowe.</w:t>
            </w:r>
          </w:p>
        </w:tc>
      </w:tr>
      <w:tr w:rsidR="00E2660D" w:rsidRPr="009D3E0E" w14:paraId="4FB175C4" w14:textId="77777777" w:rsidTr="00E2660D">
        <w:tc>
          <w:tcPr>
            <w:tcW w:w="900" w:type="dxa"/>
          </w:tcPr>
          <w:p w14:paraId="1DEEE4A8" w14:textId="77777777" w:rsidR="00E2660D" w:rsidRPr="009D3E0E" w:rsidRDefault="00E2660D" w:rsidP="00563471">
            <w:pPr>
              <w:spacing w:line="276" w:lineRule="auto"/>
              <w:jc w:val="center"/>
            </w:pPr>
            <w:r w:rsidRPr="009D3E0E">
              <w:lastRenderedPageBreak/>
              <w:t>2</w:t>
            </w:r>
          </w:p>
        </w:tc>
        <w:tc>
          <w:tcPr>
            <w:tcW w:w="2747" w:type="dxa"/>
          </w:tcPr>
          <w:p w14:paraId="70C6C24B" w14:textId="77777777" w:rsidR="00E2660D" w:rsidRPr="009D3E0E" w:rsidRDefault="00E2660D" w:rsidP="00563471">
            <w:pPr>
              <w:spacing w:line="276" w:lineRule="auto"/>
              <w:rPr>
                <w:b/>
              </w:rPr>
            </w:pPr>
            <w:r w:rsidRPr="009D3E0E">
              <w:t>waga dla osób poruszających się na wózkach inwalidzkich</w:t>
            </w:r>
          </w:p>
        </w:tc>
        <w:tc>
          <w:tcPr>
            <w:tcW w:w="1329" w:type="dxa"/>
          </w:tcPr>
          <w:p w14:paraId="1418991B" w14:textId="77777777" w:rsidR="00E2660D" w:rsidRPr="009D3E0E" w:rsidRDefault="00E2660D" w:rsidP="00563471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0EB65CFB" w14:textId="77777777" w:rsidR="00E2660D" w:rsidRPr="00E47E88" w:rsidRDefault="00E2660D" w:rsidP="00563471">
            <w:pPr>
              <w:pStyle w:val="Bezodstpw"/>
            </w:pPr>
            <w:r w:rsidRPr="00EF2524">
              <w:rPr>
                <w:b/>
                <w:bCs/>
              </w:rPr>
              <w:t xml:space="preserve">Waga medyczna z legalizacją klasy III </w:t>
            </w:r>
            <w:proofErr w:type="spellStart"/>
            <w:r w:rsidRPr="00EF2524">
              <w:rPr>
                <w:b/>
                <w:bCs/>
              </w:rPr>
              <w:t>bariatryczna</w:t>
            </w:r>
            <w:proofErr w:type="spellEnd"/>
            <w:r w:rsidRPr="00E47E88">
              <w:t xml:space="preserve"> umożliwia ważenie pacjentów na wózkach inwalidzkich, krzesłach, potrzebujących szczególnej pomocy nawet podczas dializy. Łatwość wjazdu na wagę. Nośność do 350kg.</w:t>
            </w:r>
          </w:p>
          <w:p w14:paraId="0519B732" w14:textId="77777777" w:rsidR="00E2660D" w:rsidRPr="00E47E88" w:rsidRDefault="00E2660D" w:rsidP="00563471">
            <w:pPr>
              <w:pStyle w:val="Bezodstpw"/>
            </w:pPr>
            <w:r w:rsidRPr="00E47E88">
              <w:t>Duża, płaska, antypoślizgowa platforma posiada</w:t>
            </w:r>
            <w:r>
              <w:t>jąca</w:t>
            </w:r>
            <w:r w:rsidRPr="00E47E88">
              <w:t xml:space="preserve"> wbudowaną poziomicę do regulacji poziomu. Boczne progi zabezpieczają przed zsunięciem się wózka</w:t>
            </w:r>
            <w:r>
              <w:t xml:space="preserve">. </w:t>
            </w:r>
            <w:r w:rsidRPr="00E47E88">
              <w:t>Wygodny transport po placówce dzięki 2 łatwo obracającym się kółkom i stabilnej rączce.</w:t>
            </w:r>
          </w:p>
          <w:p w14:paraId="46959A82" w14:textId="77777777" w:rsidR="00E2660D" w:rsidRDefault="00E2660D" w:rsidP="00563471">
            <w:pPr>
              <w:pStyle w:val="Bezodstpw"/>
            </w:pPr>
            <w:r w:rsidRPr="00E47E88">
              <w:t>Waga medyczna platformowa spełnia wymagania Dyrektywy 90/384/EWG o wagach nieautomatycznych podstawowe wymagania normy europejskiej DIN EN 45501 dyrektywy</w:t>
            </w:r>
            <w:r>
              <w:t xml:space="preserve"> 93/42/EWG o wyrobach medycznych.</w:t>
            </w:r>
          </w:p>
          <w:p w14:paraId="7455408B" w14:textId="77777777" w:rsidR="00E2660D" w:rsidRDefault="00E2660D" w:rsidP="00563471">
            <w:pPr>
              <w:pStyle w:val="Bezodstpw"/>
            </w:pPr>
          </w:p>
          <w:p w14:paraId="059A141A" w14:textId="77777777" w:rsidR="00E2660D" w:rsidRDefault="00E2660D" w:rsidP="00563471">
            <w:pPr>
              <w:pStyle w:val="Bezodstpw"/>
            </w:pPr>
            <w:r>
              <w:t>Dane techniczne:</w:t>
            </w:r>
          </w:p>
          <w:p w14:paraId="0301E9D0" w14:textId="77777777" w:rsidR="00E2660D" w:rsidRDefault="00E2660D" w:rsidP="00E2660D">
            <w:pPr>
              <w:pStyle w:val="Bezodstpw"/>
              <w:jc w:val="left"/>
            </w:pPr>
            <w:r>
              <w:t xml:space="preserve">    Dopuszczalne obciążenie - 350 kg,</w:t>
            </w:r>
          </w:p>
          <w:p w14:paraId="7B738529" w14:textId="77777777" w:rsidR="00E2660D" w:rsidRDefault="00E2660D" w:rsidP="00E2660D">
            <w:pPr>
              <w:pStyle w:val="Bezodstpw"/>
              <w:jc w:val="left"/>
            </w:pPr>
            <w:r>
              <w:t xml:space="preserve">     Podświetlany wyświetlacz LCD, </w:t>
            </w:r>
          </w:p>
          <w:p w14:paraId="19C8635F" w14:textId="77777777" w:rsidR="00E2660D" w:rsidRDefault="00E2660D" w:rsidP="00E2660D">
            <w:pPr>
              <w:pStyle w:val="Bezodstpw"/>
              <w:jc w:val="left"/>
            </w:pPr>
            <w:r>
              <w:t xml:space="preserve">    USB (kabel do podłączenia z PC w zestawie)</w:t>
            </w:r>
          </w:p>
          <w:p w14:paraId="3798E617" w14:textId="77777777" w:rsidR="00E2660D" w:rsidRDefault="00E2660D" w:rsidP="00E2660D">
            <w:pPr>
              <w:pStyle w:val="Bezodstpw"/>
              <w:jc w:val="left"/>
            </w:pPr>
            <w:r>
              <w:t xml:space="preserve">    Poziomica do regulacji poziomu,</w:t>
            </w:r>
          </w:p>
          <w:p w14:paraId="7FBFCB21" w14:textId="77777777" w:rsidR="00E2660D" w:rsidRDefault="00E2660D" w:rsidP="00E2660D">
            <w:pPr>
              <w:pStyle w:val="Bezodstpw"/>
              <w:jc w:val="left"/>
            </w:pPr>
            <w:r>
              <w:t xml:space="preserve">    Zasilanie - bateryjne lub sieciowe </w:t>
            </w:r>
            <w:r>
              <w:br/>
              <w:t>(zasilacz w zestawie),</w:t>
            </w:r>
          </w:p>
          <w:p w14:paraId="7BE0BBD4" w14:textId="77777777" w:rsidR="00E2660D" w:rsidRDefault="00E2660D" w:rsidP="00E2660D">
            <w:pPr>
              <w:pStyle w:val="Bezodstpw"/>
              <w:jc w:val="left"/>
            </w:pPr>
            <w:r>
              <w:t xml:space="preserve">     Uchwyt i kółka do łatwego przenoszenia,</w:t>
            </w:r>
          </w:p>
          <w:p w14:paraId="7792A42E" w14:textId="77777777" w:rsidR="00E2660D" w:rsidRPr="009D3E0E" w:rsidRDefault="00E2660D" w:rsidP="00E2660D">
            <w:pPr>
              <w:pStyle w:val="Bezodstpw"/>
              <w:jc w:val="left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t xml:space="preserve">    Niski profil platformy</w:t>
            </w:r>
          </w:p>
        </w:tc>
      </w:tr>
      <w:tr w:rsidR="00E2660D" w:rsidRPr="009D3E0E" w14:paraId="385A9AF0" w14:textId="77777777" w:rsidTr="00E2660D">
        <w:tc>
          <w:tcPr>
            <w:tcW w:w="900" w:type="dxa"/>
          </w:tcPr>
          <w:p w14:paraId="65FFC02F" w14:textId="77777777" w:rsidR="00E2660D" w:rsidRPr="009D3E0E" w:rsidRDefault="00E2660D" w:rsidP="00563471">
            <w:pPr>
              <w:spacing w:line="276" w:lineRule="auto"/>
              <w:jc w:val="center"/>
            </w:pPr>
            <w:r w:rsidRPr="009D3E0E">
              <w:t>3</w:t>
            </w:r>
          </w:p>
        </w:tc>
        <w:tc>
          <w:tcPr>
            <w:tcW w:w="2747" w:type="dxa"/>
          </w:tcPr>
          <w:p w14:paraId="1F7CBF11" w14:textId="77777777" w:rsidR="00E2660D" w:rsidRPr="009D3E0E" w:rsidRDefault="00E2660D" w:rsidP="00563471">
            <w:pPr>
              <w:spacing w:line="276" w:lineRule="auto"/>
              <w:rPr>
                <w:b/>
              </w:rPr>
            </w:pPr>
            <w:r w:rsidRPr="009D3E0E">
              <w:t>analizator do glukozy i cholesterolu</w:t>
            </w:r>
          </w:p>
        </w:tc>
        <w:tc>
          <w:tcPr>
            <w:tcW w:w="1329" w:type="dxa"/>
          </w:tcPr>
          <w:p w14:paraId="0FBAA98C" w14:textId="77777777" w:rsidR="00E2660D" w:rsidRPr="009D3E0E" w:rsidRDefault="00E2660D" w:rsidP="00563471">
            <w:pPr>
              <w:spacing w:line="276" w:lineRule="auto"/>
              <w:jc w:val="center"/>
            </w:pPr>
            <w:r w:rsidRPr="009D3E0E">
              <w:t>2 szt.</w:t>
            </w:r>
          </w:p>
        </w:tc>
        <w:tc>
          <w:tcPr>
            <w:tcW w:w="9053" w:type="dxa"/>
          </w:tcPr>
          <w:p w14:paraId="07072672" w14:textId="77777777" w:rsidR="00E2660D" w:rsidRPr="009D3E0E" w:rsidRDefault="00E2660D" w:rsidP="00E2660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Aparat posiadający </w:t>
            </w:r>
            <w:r w:rsidRPr="003A54FC">
              <w:rPr>
                <w:bCs/>
              </w:rPr>
              <w:t>m</w:t>
            </w:r>
            <w:r>
              <w:rPr>
                <w:bCs/>
              </w:rPr>
              <w:t>inimum</w:t>
            </w:r>
            <w:r w:rsidRPr="003A54FC">
              <w:rPr>
                <w:bCs/>
              </w:rPr>
              <w:t xml:space="preserve"> pomiar glukozy </w:t>
            </w:r>
            <w:r>
              <w:rPr>
                <w:bCs/>
              </w:rPr>
              <w:br/>
            </w:r>
            <w:r w:rsidRPr="003A54FC">
              <w:rPr>
                <w:bCs/>
              </w:rPr>
              <w:t>i cholesterolu</w:t>
            </w:r>
            <w:r>
              <w:rPr>
                <w:bCs/>
              </w:rPr>
              <w:t xml:space="preserve"> </w:t>
            </w:r>
            <w:r w:rsidRPr="003A54FC">
              <w:rPr>
                <w:bCs/>
              </w:rPr>
              <w:t xml:space="preserve"> z minimum 100 sztukami pasków </w:t>
            </w:r>
            <w:r>
              <w:rPr>
                <w:bCs/>
              </w:rPr>
              <w:br/>
            </w:r>
            <w:r w:rsidRPr="003A54FC">
              <w:rPr>
                <w:bCs/>
              </w:rPr>
              <w:t>w zestawie</w:t>
            </w:r>
            <w:r>
              <w:rPr>
                <w:bCs/>
              </w:rPr>
              <w:t xml:space="preserve"> do glukozy i 100 sztukami pasków do cholesterolu.</w:t>
            </w:r>
          </w:p>
        </w:tc>
      </w:tr>
      <w:tr w:rsidR="004D638E" w:rsidRPr="009D3E0E" w14:paraId="067CD31B" w14:textId="77777777" w:rsidTr="00E2660D">
        <w:tc>
          <w:tcPr>
            <w:tcW w:w="900" w:type="dxa"/>
          </w:tcPr>
          <w:p w14:paraId="06F6B385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4.</w:t>
            </w:r>
          </w:p>
        </w:tc>
        <w:tc>
          <w:tcPr>
            <w:tcW w:w="2747" w:type="dxa"/>
          </w:tcPr>
          <w:p w14:paraId="4151AFFC" w14:textId="0481E222" w:rsidR="004D638E" w:rsidRPr="009D3E0E" w:rsidRDefault="004D638E" w:rsidP="004D638E">
            <w:pPr>
              <w:spacing w:line="276" w:lineRule="auto"/>
              <w:rPr>
                <w:b/>
              </w:rPr>
            </w:pPr>
            <w:r w:rsidRPr="009D3E0E">
              <w:t>aparat do badania CRP</w:t>
            </w:r>
          </w:p>
        </w:tc>
        <w:tc>
          <w:tcPr>
            <w:tcW w:w="1329" w:type="dxa"/>
          </w:tcPr>
          <w:p w14:paraId="75D93900" w14:textId="05CCDA98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1EEA9B17" w14:textId="77777777" w:rsidR="004D638E" w:rsidRPr="00B03C14" w:rsidRDefault="004D638E" w:rsidP="004D638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03C14">
              <w:rPr>
                <w:color w:val="000000"/>
              </w:rPr>
              <w:t xml:space="preserve">Metoda pomiaru: </w:t>
            </w:r>
            <w:proofErr w:type="spellStart"/>
            <w:r w:rsidRPr="00B03C14">
              <w:rPr>
                <w:color w:val="000000"/>
              </w:rPr>
              <w:t>Fluorescence</w:t>
            </w:r>
            <w:proofErr w:type="spellEnd"/>
            <w:r w:rsidRPr="00B03C14">
              <w:rPr>
                <w:color w:val="000000"/>
              </w:rPr>
              <w:t xml:space="preserve"> </w:t>
            </w:r>
            <w:proofErr w:type="spellStart"/>
            <w:r w:rsidRPr="00B03C14">
              <w:rPr>
                <w:color w:val="000000"/>
              </w:rPr>
              <w:t>Immunoassay</w:t>
            </w:r>
            <w:proofErr w:type="spellEnd"/>
          </w:p>
          <w:p w14:paraId="294C78BB" w14:textId="77777777" w:rsidR="004D638E" w:rsidRPr="00B03C14" w:rsidRDefault="004D638E" w:rsidP="004D638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03C14">
              <w:rPr>
                <w:color w:val="000000"/>
              </w:rPr>
              <w:t>Wymiary: 172 × 80 × 56mm</w:t>
            </w:r>
          </w:p>
          <w:p w14:paraId="75C05A53" w14:textId="77777777" w:rsidR="004D638E" w:rsidRPr="00B03C14" w:rsidRDefault="004D638E" w:rsidP="004D638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03C14">
              <w:rPr>
                <w:color w:val="000000"/>
              </w:rPr>
              <w:t>Waga: ≤ 220g (</w:t>
            </w:r>
            <w:proofErr w:type="spellStart"/>
            <w:r w:rsidRPr="00B03C14">
              <w:rPr>
                <w:color w:val="000000"/>
              </w:rPr>
              <w:t>exclude</w:t>
            </w:r>
            <w:proofErr w:type="spellEnd"/>
            <w:r w:rsidRPr="00B03C14">
              <w:rPr>
                <w:color w:val="000000"/>
              </w:rPr>
              <w:t xml:space="preserve"> </w:t>
            </w:r>
            <w:proofErr w:type="spellStart"/>
            <w:r w:rsidRPr="00B03C14">
              <w:rPr>
                <w:color w:val="000000"/>
              </w:rPr>
              <w:t>battery</w:t>
            </w:r>
            <w:proofErr w:type="spellEnd"/>
            <w:r w:rsidRPr="00B03C14">
              <w:rPr>
                <w:color w:val="000000"/>
              </w:rPr>
              <w:t>)</w:t>
            </w:r>
          </w:p>
          <w:p w14:paraId="6F560B6D" w14:textId="77777777" w:rsidR="004D638E" w:rsidRPr="00B03C14" w:rsidRDefault="004D638E" w:rsidP="004D638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03C14">
              <w:rPr>
                <w:color w:val="000000"/>
              </w:rPr>
              <w:t xml:space="preserve">Zasilanie: 4 AAA </w:t>
            </w:r>
            <w:proofErr w:type="spellStart"/>
            <w:r w:rsidRPr="00B03C14">
              <w:rPr>
                <w:color w:val="000000"/>
              </w:rPr>
              <w:t>batteries</w:t>
            </w:r>
            <w:proofErr w:type="spellEnd"/>
          </w:p>
          <w:p w14:paraId="53013661" w14:textId="77777777" w:rsidR="004D638E" w:rsidRDefault="004D638E" w:rsidP="004D638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03C14">
              <w:rPr>
                <w:color w:val="000000"/>
              </w:rPr>
              <w:lastRenderedPageBreak/>
              <w:t>Czas badania: uzależniony od wykonywanego badanie ale nie dłuższy niż ≤ 15min</w:t>
            </w:r>
          </w:p>
          <w:p w14:paraId="2783CDD9" w14:textId="709002B9" w:rsidR="004D638E" w:rsidRPr="009D3E0E" w:rsidRDefault="004D638E" w:rsidP="004D638E">
            <w:pPr>
              <w:spacing w:line="276" w:lineRule="auto"/>
              <w:rPr>
                <w:rFonts w:cstheme="minorHAnsi"/>
                <w:b/>
                <w:bCs/>
              </w:rPr>
            </w:pPr>
            <w:r w:rsidRPr="00AC4D4E">
              <w:rPr>
                <w:color w:val="000000"/>
              </w:rPr>
              <w:t>Krew pobierana z palca</w:t>
            </w:r>
          </w:p>
        </w:tc>
      </w:tr>
      <w:tr w:rsidR="004D638E" w:rsidRPr="009D3E0E" w14:paraId="3814A661" w14:textId="77777777" w:rsidTr="00E2660D">
        <w:tc>
          <w:tcPr>
            <w:tcW w:w="900" w:type="dxa"/>
          </w:tcPr>
          <w:p w14:paraId="7DBB5B0B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lastRenderedPageBreak/>
              <w:t>5</w:t>
            </w:r>
          </w:p>
        </w:tc>
        <w:tc>
          <w:tcPr>
            <w:tcW w:w="2747" w:type="dxa"/>
          </w:tcPr>
          <w:p w14:paraId="17A0A398" w14:textId="5FC56B17" w:rsidR="004D638E" w:rsidRPr="009D3E0E" w:rsidRDefault="004D638E" w:rsidP="004D638E">
            <w:pPr>
              <w:spacing w:line="276" w:lineRule="auto"/>
              <w:rPr>
                <w:b/>
              </w:rPr>
            </w:pPr>
            <w:r w:rsidRPr="009D3E0E">
              <w:t>aparat do pomiaru wskaźnika krzepliwości krwi INR</w:t>
            </w:r>
          </w:p>
        </w:tc>
        <w:tc>
          <w:tcPr>
            <w:tcW w:w="1329" w:type="dxa"/>
          </w:tcPr>
          <w:p w14:paraId="08B0B598" w14:textId="33AA432C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42725ADD" w14:textId="25DFC574" w:rsidR="004D638E" w:rsidRPr="009D3E0E" w:rsidRDefault="004D638E" w:rsidP="004D638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D57A3D">
              <w:rPr>
                <w:rFonts w:cstheme="minorHAnsi"/>
                <w:b/>
                <w:bCs/>
              </w:rPr>
              <w:t>Aparat INR</w:t>
            </w:r>
            <w:r>
              <w:rPr>
                <w:rFonts w:cstheme="minorHAnsi"/>
              </w:rPr>
              <w:t xml:space="preserve">- w zestawie: </w:t>
            </w:r>
            <w:r w:rsidRPr="00D57A3D">
              <w:rPr>
                <w:rFonts w:cstheme="minorHAnsi"/>
              </w:rPr>
              <w:t>Baterie AA - 4 szt.</w:t>
            </w:r>
            <w:r>
              <w:rPr>
                <w:rFonts w:cstheme="minorHAnsi"/>
              </w:rPr>
              <w:t>,  z</w:t>
            </w:r>
            <w:r w:rsidRPr="00D57A3D">
              <w:rPr>
                <w:rFonts w:cstheme="minorHAnsi"/>
              </w:rPr>
              <w:t>asilacz</w:t>
            </w:r>
            <w:r>
              <w:rPr>
                <w:rFonts w:cstheme="minorHAnsi"/>
              </w:rPr>
              <w:t>, i</w:t>
            </w:r>
            <w:r w:rsidRPr="00D57A3D">
              <w:rPr>
                <w:rFonts w:cstheme="minorHAnsi"/>
              </w:rPr>
              <w:t>nstrukcje obsługi aparatu</w:t>
            </w:r>
            <w:r>
              <w:rPr>
                <w:rFonts w:cstheme="minorHAnsi"/>
              </w:rPr>
              <w:t>, i</w:t>
            </w:r>
            <w:r w:rsidRPr="00D57A3D">
              <w:rPr>
                <w:rFonts w:cstheme="minorHAnsi"/>
              </w:rPr>
              <w:t>nstrukcja używania pasków</w:t>
            </w:r>
            <w:r>
              <w:rPr>
                <w:rFonts w:cstheme="minorHAnsi"/>
              </w:rPr>
              <w:t>, f</w:t>
            </w:r>
            <w:r w:rsidRPr="00D57A3D">
              <w:rPr>
                <w:rFonts w:cstheme="minorHAnsi"/>
              </w:rPr>
              <w:t>uterał.</w:t>
            </w:r>
            <w:r>
              <w:rPr>
                <w:rFonts w:cstheme="minorHAnsi"/>
              </w:rPr>
              <w:t xml:space="preserve"> Ważne: d</w:t>
            </w:r>
            <w:r w:rsidRPr="00D57A3D">
              <w:rPr>
                <w:rFonts w:cstheme="minorHAnsi"/>
              </w:rPr>
              <w:t>okładność laboratoryjna pomiarów. Szybki odczyt</w:t>
            </w:r>
            <w:r>
              <w:rPr>
                <w:rFonts w:cstheme="minorHAnsi"/>
              </w:rPr>
              <w:t xml:space="preserve">: </w:t>
            </w:r>
            <w:r w:rsidRPr="00D57A3D">
              <w:rPr>
                <w:rFonts w:cstheme="minorHAnsi"/>
              </w:rPr>
              <w:t xml:space="preserve"> 2 </w:t>
            </w:r>
            <w:proofErr w:type="spellStart"/>
            <w:r w:rsidRPr="00D57A3D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.</w:t>
            </w:r>
            <w:r w:rsidRPr="00D57A3D">
              <w:rPr>
                <w:rFonts w:cstheme="minorHAnsi"/>
              </w:rPr>
              <w:t>Mała</w:t>
            </w:r>
            <w:proofErr w:type="spellEnd"/>
            <w:r w:rsidRPr="00D57A3D">
              <w:rPr>
                <w:rFonts w:cstheme="minorHAnsi"/>
              </w:rPr>
              <w:t xml:space="preserve"> kropla krwi (krew włośniczkowa lub żylna bez antykoagulantu)</w:t>
            </w:r>
            <w:r w:rsidRPr="00D57A3D">
              <w:rPr>
                <w:rFonts w:cstheme="minorHAnsi"/>
              </w:rPr>
              <w:br/>
              <w:t>Dokładność kliniczna zgodna z ISO 17593</w:t>
            </w:r>
            <w:r w:rsidRPr="00D57A3D">
              <w:rPr>
                <w:rFonts w:cstheme="minorHAnsi"/>
              </w:rPr>
              <w:br/>
              <w:t>Zakres pomiarowy 0,7 - 7,0</w:t>
            </w:r>
            <w:r>
              <w:rPr>
                <w:rFonts w:cstheme="minorHAnsi"/>
              </w:rPr>
              <w:t>.</w:t>
            </w:r>
            <w:r w:rsidRPr="00D57A3D">
              <w:rPr>
                <w:rFonts w:cstheme="minorHAnsi"/>
              </w:rPr>
              <w:t xml:space="preserve">Po włożeniu paska testowego do aparatu próbka krwi jest nanoszona na specjalny obszar zaznaczony na pasku testowym. Aparat wykrywa obecność próbki na pasku i inicjuje upływ czasu testowego. Membrana paska zawiera odczynniki potrzebne do rozpoczęcia reakcji krzepnięcia. Czas od początkowego wykrycia próbki do pojawienia się odpowiedzi na sygnał fluorescencyjny jest wykorzystywany do obliczania czasu </w:t>
            </w:r>
            <w:proofErr w:type="spellStart"/>
            <w:r w:rsidRPr="00D57A3D">
              <w:rPr>
                <w:rFonts w:cstheme="minorHAnsi"/>
              </w:rPr>
              <w:t>protrombinowego</w:t>
            </w:r>
            <w:proofErr w:type="spellEnd"/>
            <w:r w:rsidRPr="00D57A3D">
              <w:rPr>
                <w:rFonts w:cstheme="minorHAnsi"/>
              </w:rPr>
              <w:t xml:space="preserve"> oraz wartości INR podanej próbki krwi.</w:t>
            </w:r>
          </w:p>
        </w:tc>
      </w:tr>
      <w:tr w:rsidR="004D638E" w:rsidRPr="009D3E0E" w14:paraId="1333E350" w14:textId="77777777" w:rsidTr="00E2660D">
        <w:tc>
          <w:tcPr>
            <w:tcW w:w="900" w:type="dxa"/>
          </w:tcPr>
          <w:p w14:paraId="0B3FA5C4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6</w:t>
            </w:r>
          </w:p>
        </w:tc>
        <w:tc>
          <w:tcPr>
            <w:tcW w:w="2747" w:type="dxa"/>
          </w:tcPr>
          <w:p w14:paraId="23C71178" w14:textId="14A6BE26" w:rsidR="004D638E" w:rsidRPr="009D3E0E" w:rsidRDefault="004D638E" w:rsidP="004D638E">
            <w:pPr>
              <w:spacing w:line="276" w:lineRule="auto"/>
              <w:rPr>
                <w:b/>
              </w:rPr>
            </w:pPr>
            <w:r w:rsidRPr="009D3E0E">
              <w:t>iluminator żył</w:t>
            </w:r>
          </w:p>
        </w:tc>
        <w:tc>
          <w:tcPr>
            <w:tcW w:w="1329" w:type="dxa"/>
          </w:tcPr>
          <w:p w14:paraId="26F5E417" w14:textId="5BD96476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3DEFE699" w14:textId="77777777" w:rsidR="004D638E" w:rsidRDefault="004D638E" w:rsidP="004D638E">
            <w:pPr>
              <w:pStyle w:val="Bezodstpw"/>
              <w:jc w:val="left"/>
            </w:pPr>
            <w:r w:rsidRPr="001031E8">
              <w:rPr>
                <w:b/>
                <w:bCs/>
              </w:rPr>
              <w:t>Skaner żył</w:t>
            </w:r>
            <w:r>
              <w:t xml:space="preserve"> jako b</w:t>
            </w:r>
            <w:r w:rsidRPr="00E91140">
              <w:t>ezkontaktowe urządzenie medyczne do iluminacji naczyniowej, które w bardzo prosty i przejrzysty sposób lokalizuje żyły powierzchniowe u osoby dorosłej lub dziecka. Urządzenie może pracować jako wersja ręczna lub na statywie. Wbudowane zasilanie daje możliwość pracy w terenie. Działanie skanera żył oparte jest na świetle podczerwonym oraz promieniowaniu laserowym ( widzialnym i niewidzialnym). Projekcja żył widoczna jest dzięki temu iż hemoglobina we krwi wchłania promieniowanie podczerwone.</w:t>
            </w:r>
            <w:r>
              <w:t xml:space="preserve"> Projekcja światła: 300lux </w:t>
            </w:r>
            <w:r>
              <w:rPr>
                <w:rFonts w:ascii="MS Gothic" w:eastAsia="MS Gothic" w:hAnsi="MS Gothic" w:cs="MS Gothic" w:hint="eastAsia"/>
              </w:rPr>
              <w:t>～</w:t>
            </w:r>
            <w:r>
              <w:t xml:space="preserve"> 1000lux</w:t>
            </w:r>
          </w:p>
          <w:p w14:paraId="423C0260" w14:textId="376E4C5B" w:rsidR="004D638E" w:rsidRPr="009D3E0E" w:rsidRDefault="004D638E" w:rsidP="004D638E">
            <w:pPr>
              <w:pStyle w:val="Normalny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t xml:space="preserve">Aktywne promieniowanie - światło o długości fali: 750 </w:t>
            </w:r>
            <w:proofErr w:type="spellStart"/>
            <w:r>
              <w:t>nm</w:t>
            </w:r>
            <w:proofErr w:type="spellEnd"/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～</w:t>
            </w:r>
            <w:r>
              <w:t xml:space="preserve"> 980 </w:t>
            </w:r>
            <w:proofErr w:type="spellStart"/>
            <w:r>
              <w:t>nm</w:t>
            </w:r>
            <w:proofErr w:type="spellEnd"/>
            <w:r>
              <w:t xml:space="preserve"> /Zasilanie: polimerowa bateria </w:t>
            </w:r>
            <w:proofErr w:type="spellStart"/>
            <w:r>
              <w:t>litowo</w:t>
            </w:r>
            <w:proofErr w:type="spellEnd"/>
            <w:r>
              <w:t>-jonowa.</w:t>
            </w:r>
          </w:p>
        </w:tc>
      </w:tr>
      <w:tr w:rsidR="004D638E" w:rsidRPr="009D3E0E" w14:paraId="3F6F681D" w14:textId="77777777" w:rsidTr="00E2660D">
        <w:tc>
          <w:tcPr>
            <w:tcW w:w="900" w:type="dxa"/>
          </w:tcPr>
          <w:p w14:paraId="48A41DA6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7</w:t>
            </w:r>
          </w:p>
        </w:tc>
        <w:tc>
          <w:tcPr>
            <w:tcW w:w="2747" w:type="dxa"/>
          </w:tcPr>
          <w:p w14:paraId="5B123BE0" w14:textId="1D74118F" w:rsidR="004D638E" w:rsidRPr="009D3E0E" w:rsidRDefault="004D638E" w:rsidP="004D638E">
            <w:pPr>
              <w:spacing w:line="276" w:lineRule="auto"/>
            </w:pPr>
            <w:r w:rsidRPr="009D3E0E">
              <w:t>fotel ginekologiczny z regulacją wysokości</w:t>
            </w:r>
          </w:p>
        </w:tc>
        <w:tc>
          <w:tcPr>
            <w:tcW w:w="1329" w:type="dxa"/>
          </w:tcPr>
          <w:p w14:paraId="658FE0A8" w14:textId="08D24DE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35920FA8" w14:textId="07035E2E" w:rsidR="004D638E" w:rsidRPr="009D3E0E" w:rsidRDefault="004D638E" w:rsidP="004D638E">
            <w:pPr>
              <w:pStyle w:val="Bezodstpw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AC4D4E">
              <w:rPr>
                <w:rFonts w:cstheme="minorHAnsi"/>
                <w:b/>
                <w:bCs/>
              </w:rPr>
              <w:t>FOTEL GINEKOLOGICZNY</w:t>
            </w:r>
            <w:r w:rsidRPr="00AC4D4E">
              <w:rPr>
                <w:rFonts w:cstheme="minorHAnsi"/>
              </w:rPr>
              <w:t xml:space="preserve"> z akcesoriami (akcesoria tj. uchwyt na papier, dwa rodzaje podpór pod</w:t>
            </w:r>
            <w:r w:rsidRPr="00AC4D4E">
              <w:rPr>
                <w:rFonts w:cstheme="minorHAnsi"/>
              </w:rPr>
              <w:br/>
              <w:t xml:space="preserve">nogi - 1/GOEPEL oraz 2/półokrągłe, kolor </w:t>
            </w:r>
            <w:r>
              <w:rPr>
                <w:rFonts w:cstheme="minorHAnsi"/>
              </w:rPr>
              <w:t xml:space="preserve">fotela </w:t>
            </w:r>
            <w:r w:rsidRPr="00AC4D4E">
              <w:rPr>
                <w:rFonts w:cstheme="minorHAnsi"/>
              </w:rPr>
              <w:t>jasnoszary</w:t>
            </w:r>
            <w:r>
              <w:rPr>
                <w:rFonts w:cstheme="minorHAnsi"/>
              </w:rPr>
              <w:t>, przedłużenie podstawy pod nogi i do USG w kolorze szarym w zestawie (czyli: dodatkowa zdejmowalna część: podnóżek do badania ultrasonograficznego). Inne: fotel posiada możliwość</w:t>
            </w:r>
            <w:r w:rsidRPr="00AC4D4E">
              <w:rPr>
                <w:rFonts w:cstheme="minorHAnsi"/>
              </w:rPr>
              <w:t xml:space="preserve"> regulacj</w:t>
            </w:r>
            <w:r>
              <w:rPr>
                <w:rFonts w:cstheme="minorHAnsi"/>
              </w:rPr>
              <w:t>i</w:t>
            </w:r>
            <w:r w:rsidRPr="00AC4D4E">
              <w:rPr>
                <w:rFonts w:cstheme="minorHAnsi"/>
              </w:rPr>
              <w:t xml:space="preserve"> wysokości</w:t>
            </w:r>
            <w:r>
              <w:rPr>
                <w:rFonts w:cstheme="minorHAnsi"/>
              </w:rPr>
              <w:t xml:space="preserve"> jest wyrobem</w:t>
            </w:r>
            <w:r w:rsidRPr="00AC4D4E">
              <w:rPr>
                <w:rFonts w:cstheme="minorHAnsi"/>
              </w:rPr>
              <w:t xml:space="preserve"> medyczny</w:t>
            </w:r>
            <w:r>
              <w:rPr>
                <w:rFonts w:cstheme="minorHAnsi"/>
              </w:rPr>
              <w:t>m</w:t>
            </w:r>
            <w:r w:rsidRPr="00AC4D4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maksymalny </w:t>
            </w:r>
            <w:r w:rsidRPr="00AC4D4E">
              <w:rPr>
                <w:rFonts w:cstheme="minorHAnsi"/>
              </w:rPr>
              <w:t>udźwig min. 230 kg</w:t>
            </w:r>
            <w:r>
              <w:rPr>
                <w:rFonts w:cstheme="minorHAnsi"/>
              </w:rPr>
              <w:t>, pilot w zestawie. Fotel wyposażony w 4 silniki elektryczne, stal malowana proszkowo. Materiał obiciowy SKY  o właściwościach antybakteryjnych i antygrzybicznych. Minimalna wysokość siedziska od ziemi 510 mm.</w:t>
            </w:r>
          </w:p>
        </w:tc>
      </w:tr>
      <w:tr w:rsidR="004D638E" w:rsidRPr="009D3E0E" w14:paraId="62F59BA0" w14:textId="77777777" w:rsidTr="00E2660D">
        <w:tc>
          <w:tcPr>
            <w:tcW w:w="900" w:type="dxa"/>
          </w:tcPr>
          <w:p w14:paraId="2FF9F056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lastRenderedPageBreak/>
              <w:t>8</w:t>
            </w:r>
          </w:p>
        </w:tc>
        <w:tc>
          <w:tcPr>
            <w:tcW w:w="2747" w:type="dxa"/>
          </w:tcPr>
          <w:p w14:paraId="2285D7E1" w14:textId="2740B439" w:rsidR="004D638E" w:rsidRPr="009D3E0E" w:rsidRDefault="004D638E" w:rsidP="004D638E">
            <w:pPr>
              <w:spacing w:line="276" w:lineRule="auto"/>
            </w:pPr>
            <w:r w:rsidRPr="009D3E0E">
              <w:t>fotel o regulowanej wysokości, z regulacją podparcia do pobrań</w:t>
            </w:r>
          </w:p>
        </w:tc>
        <w:tc>
          <w:tcPr>
            <w:tcW w:w="1329" w:type="dxa"/>
          </w:tcPr>
          <w:p w14:paraId="03B794E7" w14:textId="784EBA4E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7F4E4D19" w14:textId="77777777" w:rsidR="004D638E" w:rsidRPr="007D22F8" w:rsidRDefault="004D638E" w:rsidP="004D638E">
            <w:pPr>
              <w:spacing w:line="276" w:lineRule="auto"/>
              <w:rPr>
                <w:rFonts w:cstheme="minorHAnsi"/>
                <w:b/>
                <w:bCs/>
              </w:rPr>
            </w:pPr>
            <w:r w:rsidRPr="007D22F8">
              <w:rPr>
                <w:rFonts w:cstheme="minorHAnsi"/>
                <w:b/>
                <w:bCs/>
              </w:rPr>
              <w:t xml:space="preserve">Fotel do pobrań: </w:t>
            </w:r>
          </w:p>
          <w:p w14:paraId="34D8244E" w14:textId="79F0C791" w:rsidR="004D638E" w:rsidRPr="009D3E0E" w:rsidRDefault="004D638E" w:rsidP="004D638E">
            <w:pPr>
              <w:spacing w:line="276" w:lineRule="auto"/>
              <w:rPr>
                <w:rFonts w:cstheme="minorHAnsi"/>
              </w:rPr>
            </w:pPr>
            <w:r w:rsidRPr="007D22F8">
              <w:rPr>
                <w:rFonts w:cstheme="minorHAnsi"/>
              </w:rPr>
              <w:t>siedzisko, oparcie i podłokietniki fotela pokryte są materiałem skóropodobnym lub winylowym dostępnym w szerokiej gamie kolorystycznej. Wysokość fotela regulowana jest za pomocą siłownika hydraulicznego umieszczonego w podstawie. Regulacja podłokietników odbywa się w zakresie góra/dół. Inne: Szerokość: 84 cm (siedzisko 48 cm)/ Wysokość: 110 - 121 cm/Dopuszczalne obciążenie: 130 kg/Waga: 60 kg/Głębokość: 72 cm/Wymiar podłokietników: 35 x 17 cm/Regulacja wysokości siedziska: 43 - 54 cm</w:t>
            </w:r>
            <w:r w:rsidRPr="007D22F8">
              <w:t xml:space="preserve"> Regulacją podparcia do pobrań ma zapewniać pacjentowi odpowiednie warunki podczas wykonywania zabiegów oraz procedur medycznych</w:t>
            </w:r>
            <w:r>
              <w:t>.</w:t>
            </w:r>
          </w:p>
        </w:tc>
      </w:tr>
      <w:tr w:rsidR="004D638E" w:rsidRPr="009D3E0E" w14:paraId="16F38564" w14:textId="77777777" w:rsidTr="00E2660D">
        <w:tc>
          <w:tcPr>
            <w:tcW w:w="900" w:type="dxa"/>
          </w:tcPr>
          <w:p w14:paraId="03603A6C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9</w:t>
            </w:r>
          </w:p>
        </w:tc>
        <w:tc>
          <w:tcPr>
            <w:tcW w:w="2747" w:type="dxa"/>
          </w:tcPr>
          <w:p w14:paraId="1DADE6ED" w14:textId="2524FFE3" w:rsidR="004D638E" w:rsidRPr="009D3E0E" w:rsidRDefault="004D638E" w:rsidP="004D638E">
            <w:pPr>
              <w:spacing w:line="276" w:lineRule="auto"/>
            </w:pPr>
            <w:r w:rsidRPr="009D3E0E">
              <w:t>kozetka/leżanka do EKG</w:t>
            </w:r>
          </w:p>
        </w:tc>
        <w:tc>
          <w:tcPr>
            <w:tcW w:w="1329" w:type="dxa"/>
          </w:tcPr>
          <w:p w14:paraId="3380D396" w14:textId="177964D5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2CE98DD9" w14:textId="271E1027" w:rsidR="004D638E" w:rsidRPr="009D3E0E" w:rsidRDefault="004D638E" w:rsidP="004D638E">
            <w:pPr>
              <w:ind w:left="-284"/>
              <w:rPr>
                <w:rFonts w:cstheme="minorHAnsi"/>
              </w:rPr>
            </w:pPr>
            <w:r w:rsidRPr="00443B54">
              <w:rPr>
                <w:b/>
                <w:bCs/>
              </w:rPr>
              <w:t xml:space="preserve">Kozetka </w:t>
            </w:r>
            <w:r w:rsidRPr="00443B54">
              <w:t xml:space="preserve">posiadająca lekką drewnianą konstrukcję i wygodny materac. Ruchoma część leża do ułożenia pacjenta nie tylko w pozycji leżącej, ale również w pozycji półleżącej. Blat obity  materiałem skóropodobnym o wysokich parametrach wytrzymałościowych. Długość: 200 cm/Szerokość: 70 cm/Regulacja kąta nachylenia zagłówka: od 0 °do + 35 °/Dopuszczalne obciążenie: 200 kg </w:t>
            </w:r>
            <w:proofErr w:type="spellStart"/>
            <w:r w:rsidRPr="00443B54">
              <w:t>Waga:ok</w:t>
            </w:r>
            <w:proofErr w:type="spellEnd"/>
            <w:r w:rsidRPr="00443B54">
              <w:t xml:space="preserve"> 35 kg</w:t>
            </w:r>
          </w:p>
        </w:tc>
      </w:tr>
      <w:tr w:rsidR="004D638E" w:rsidRPr="009D3E0E" w14:paraId="41B1EA11" w14:textId="77777777" w:rsidTr="00E2660D">
        <w:tc>
          <w:tcPr>
            <w:tcW w:w="900" w:type="dxa"/>
          </w:tcPr>
          <w:p w14:paraId="175112B7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10</w:t>
            </w:r>
          </w:p>
        </w:tc>
        <w:tc>
          <w:tcPr>
            <w:tcW w:w="2747" w:type="dxa"/>
          </w:tcPr>
          <w:p w14:paraId="1C47B19A" w14:textId="475E7AAA" w:rsidR="004D638E" w:rsidRPr="009D3E0E" w:rsidRDefault="004D638E" w:rsidP="004D638E">
            <w:pPr>
              <w:spacing w:line="276" w:lineRule="auto"/>
            </w:pPr>
            <w:r w:rsidRPr="009D3E0E">
              <w:t xml:space="preserve">kozetka/leżanka </w:t>
            </w:r>
            <w:r w:rsidRPr="009D3E0E">
              <w:br/>
              <w:t>o regulowanej wysokości</w:t>
            </w:r>
          </w:p>
        </w:tc>
        <w:tc>
          <w:tcPr>
            <w:tcW w:w="1329" w:type="dxa"/>
          </w:tcPr>
          <w:p w14:paraId="0575207D" w14:textId="0E94A513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778D9128" w14:textId="77777777" w:rsidR="004D638E" w:rsidRPr="00F462D7" w:rsidRDefault="004D638E" w:rsidP="004D638E">
            <w:pPr>
              <w:pStyle w:val="Bezodstpw"/>
              <w:jc w:val="left"/>
            </w:pPr>
            <w:r w:rsidRPr="00443B54">
              <w:rPr>
                <w:b/>
                <w:bCs/>
              </w:rPr>
              <w:t>Kozetka ze stabilną stalową konstrukcją pokrytą farbą proszkową,</w:t>
            </w:r>
            <w:r w:rsidRPr="00F462D7">
              <w:t xml:space="preserve"> </w:t>
            </w:r>
            <w:r>
              <w:t>z</w:t>
            </w:r>
            <w:r w:rsidRPr="00F462D7">
              <w:t xml:space="preserve"> dwu częściow</w:t>
            </w:r>
            <w:r>
              <w:t>ym</w:t>
            </w:r>
            <w:r w:rsidRPr="00F462D7">
              <w:t xml:space="preserve"> leże</w:t>
            </w:r>
            <w:r>
              <w:t>m</w:t>
            </w:r>
            <w:r w:rsidRPr="00F462D7">
              <w:t xml:space="preserve"> z otworem na twarz i zatyczką w podgłówku.</w:t>
            </w:r>
          </w:p>
          <w:p w14:paraId="0D06A1C6" w14:textId="77777777" w:rsidR="004D638E" w:rsidRPr="00F462D7" w:rsidRDefault="004D638E" w:rsidP="004D638E">
            <w:pPr>
              <w:pStyle w:val="Bezodstpw"/>
              <w:jc w:val="left"/>
            </w:pPr>
            <w:r w:rsidRPr="00443B54">
              <w:rPr>
                <w:b/>
                <w:bCs/>
              </w:rPr>
              <w:t>Regulacja wysokości</w:t>
            </w:r>
            <w:r w:rsidRPr="00F462D7">
              <w:t xml:space="preserve"> stołu za pomocą siłownika elektrycznego sterowanego pilotem ręcznym.</w:t>
            </w:r>
          </w:p>
          <w:p w14:paraId="5278CE51" w14:textId="77777777" w:rsidR="004D638E" w:rsidRDefault="004D638E" w:rsidP="004D638E">
            <w:pPr>
              <w:pStyle w:val="Bezodstpw"/>
              <w:jc w:val="left"/>
            </w:pPr>
            <w:r>
              <w:t>Posiada w pełni łożyskowany mechanizm regulacji wysokości. Poszczególne części blatu regulowane są poprzez sprężyny gazowe.</w:t>
            </w:r>
          </w:p>
          <w:p w14:paraId="7F8FEBC3" w14:textId="77777777" w:rsidR="004D638E" w:rsidRDefault="004D638E" w:rsidP="004D638E">
            <w:pPr>
              <w:pStyle w:val="Bezodstpw"/>
              <w:jc w:val="left"/>
            </w:pPr>
            <w:r>
              <w:t>Długość 200 cm</w:t>
            </w:r>
          </w:p>
          <w:p w14:paraId="796C1015" w14:textId="4F549F16" w:rsidR="004D638E" w:rsidRPr="009D3E0E" w:rsidRDefault="004D638E" w:rsidP="004D638E">
            <w:pPr>
              <w:pStyle w:val="Bezodstpw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BC610B">
              <w:rPr>
                <w:b/>
                <w:bCs/>
              </w:rPr>
              <w:t xml:space="preserve">Maksymalne obciążenie min. 200 kg </w:t>
            </w:r>
          </w:p>
        </w:tc>
      </w:tr>
      <w:tr w:rsidR="004D638E" w:rsidRPr="009D3E0E" w14:paraId="7F1A8AD6" w14:textId="77777777" w:rsidTr="00E2660D">
        <w:tc>
          <w:tcPr>
            <w:tcW w:w="900" w:type="dxa"/>
          </w:tcPr>
          <w:p w14:paraId="616D7281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11</w:t>
            </w:r>
          </w:p>
        </w:tc>
        <w:tc>
          <w:tcPr>
            <w:tcW w:w="2747" w:type="dxa"/>
          </w:tcPr>
          <w:p w14:paraId="3ECEA105" w14:textId="7C67E395" w:rsidR="004D638E" w:rsidRPr="009D3E0E" w:rsidRDefault="004D638E" w:rsidP="004D638E">
            <w:pPr>
              <w:spacing w:line="276" w:lineRule="auto"/>
            </w:pPr>
            <w:r w:rsidRPr="009D3E0E">
              <w:t>przewijak dla dzieci</w:t>
            </w:r>
          </w:p>
        </w:tc>
        <w:tc>
          <w:tcPr>
            <w:tcW w:w="1329" w:type="dxa"/>
          </w:tcPr>
          <w:p w14:paraId="180414B6" w14:textId="3892CE1B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3BDBECDC" w14:textId="72F9A8C3" w:rsidR="004D638E" w:rsidRPr="009D3E0E" w:rsidRDefault="004D638E" w:rsidP="004D638E">
            <w:pPr>
              <w:pStyle w:val="Bezodstpw"/>
              <w:jc w:val="left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443B54">
              <w:rPr>
                <w:b/>
                <w:bCs/>
              </w:rPr>
              <w:t>Stolik/Przewijak</w:t>
            </w:r>
            <w:r>
              <w:t xml:space="preserve"> osłonięty z trzech stron pianką. Podstawa stolika, wykonana ze stalowych profili . Blat obłożony wysoką pianką, obitą wysokiej jakości skórą ekologiczną. Regulacja wysokości stopek umożliwia umieszczenie stolika na nierównych powierzchniach. Konstrukcja stalowa malowana proszkowo ( kolorze biały).Kolor przewijaka, biały lub jasnoszary.</w:t>
            </w:r>
          </w:p>
        </w:tc>
      </w:tr>
      <w:tr w:rsidR="004D638E" w:rsidRPr="009D3E0E" w14:paraId="624E9C60" w14:textId="77777777" w:rsidTr="00E2660D">
        <w:tc>
          <w:tcPr>
            <w:tcW w:w="900" w:type="dxa"/>
          </w:tcPr>
          <w:p w14:paraId="384D288E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12</w:t>
            </w:r>
          </w:p>
        </w:tc>
        <w:tc>
          <w:tcPr>
            <w:tcW w:w="2747" w:type="dxa"/>
          </w:tcPr>
          <w:p w14:paraId="0319B053" w14:textId="6ECC4190" w:rsidR="004D638E" w:rsidRPr="009D3E0E" w:rsidRDefault="004D638E" w:rsidP="004D638E">
            <w:pPr>
              <w:spacing w:line="276" w:lineRule="auto"/>
            </w:pPr>
            <w:r w:rsidRPr="009D3E0E">
              <w:t>lampa zabiegowa bezcieniowa w wersji jezdnej z akumulatorem</w:t>
            </w:r>
          </w:p>
        </w:tc>
        <w:tc>
          <w:tcPr>
            <w:tcW w:w="1329" w:type="dxa"/>
          </w:tcPr>
          <w:p w14:paraId="0B8E0060" w14:textId="2CFC33EA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rPr>
                <w:rFonts w:cstheme="minorHAnsi"/>
              </w:rPr>
              <w:t>2 szt.</w:t>
            </w:r>
          </w:p>
        </w:tc>
        <w:tc>
          <w:tcPr>
            <w:tcW w:w="9053" w:type="dxa"/>
          </w:tcPr>
          <w:p w14:paraId="6260628F" w14:textId="77777777" w:rsidR="004D638E" w:rsidRPr="00EF2524" w:rsidRDefault="004D638E" w:rsidP="004D638E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lang w:eastAsia="pl-PL"/>
              </w:rPr>
            </w:pPr>
            <w:r w:rsidRPr="00EF2524">
              <w:rPr>
                <w:rFonts w:cstheme="minorHAnsi"/>
                <w:b/>
                <w:bCs/>
              </w:rPr>
              <w:t>Lampa bezcieniowa zabiegowa w wersji jezdnej z akumulatorem -</w:t>
            </w:r>
          </w:p>
          <w:p w14:paraId="26B1FDE3" w14:textId="77777777" w:rsidR="004D638E" w:rsidRPr="00BC610B" w:rsidRDefault="004D638E" w:rsidP="004D63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średni czas żywotności diod: 50000 h,</w:t>
            </w:r>
          </w:p>
          <w:p w14:paraId="1565C38F" w14:textId="77777777" w:rsidR="004D638E" w:rsidRPr="00BC610B" w:rsidRDefault="004D638E" w:rsidP="004D63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regulacja natężenia oświetlenia,</w:t>
            </w:r>
          </w:p>
          <w:p w14:paraId="7C0C1379" w14:textId="77777777" w:rsidR="004D638E" w:rsidRPr="00BC610B" w:rsidRDefault="004D638E" w:rsidP="004D63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natężenie światła:</w:t>
            </w:r>
          </w:p>
          <w:p w14:paraId="7653F094" w14:textId="77777777" w:rsidR="004D638E" w:rsidRPr="00BC610B" w:rsidRDefault="004D638E" w:rsidP="004D638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 xml:space="preserve">65 000 </w:t>
            </w:r>
            <w:proofErr w:type="spellStart"/>
            <w:r w:rsidRPr="00BC610B">
              <w:rPr>
                <w:rFonts w:eastAsia="Times New Roman" w:cstheme="minorHAnsi"/>
                <w:lang w:eastAsia="pl-PL"/>
              </w:rPr>
              <w:t>luxów</w:t>
            </w:r>
            <w:proofErr w:type="spellEnd"/>
            <w:r w:rsidRPr="00BC610B">
              <w:rPr>
                <w:rFonts w:eastAsia="Times New Roman" w:cstheme="minorHAnsi"/>
                <w:lang w:eastAsia="pl-PL"/>
              </w:rPr>
              <w:t xml:space="preserve"> - przy 50 cm</w:t>
            </w:r>
          </w:p>
          <w:p w14:paraId="0D416610" w14:textId="77777777" w:rsidR="004D638E" w:rsidRPr="00BC610B" w:rsidRDefault="004D638E" w:rsidP="004D638E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 xml:space="preserve">35 000 </w:t>
            </w:r>
            <w:proofErr w:type="spellStart"/>
            <w:r w:rsidRPr="00BC610B">
              <w:rPr>
                <w:rFonts w:eastAsia="Times New Roman" w:cstheme="minorHAnsi"/>
                <w:lang w:eastAsia="pl-PL"/>
              </w:rPr>
              <w:t>luxów</w:t>
            </w:r>
            <w:proofErr w:type="spellEnd"/>
            <w:r w:rsidRPr="00BC610B">
              <w:rPr>
                <w:rFonts w:eastAsia="Times New Roman" w:cstheme="minorHAnsi"/>
                <w:lang w:eastAsia="pl-PL"/>
              </w:rPr>
              <w:t xml:space="preserve"> - przy 100 cm</w:t>
            </w:r>
          </w:p>
          <w:p w14:paraId="20F536E0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lastRenderedPageBreak/>
              <w:t>temperatura barwowa: 5000 K,</w:t>
            </w:r>
          </w:p>
          <w:p w14:paraId="7A46F8A7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ramię typu „gęsia szyja” zapewniające dokładne oświetlenie badanego pola,</w:t>
            </w:r>
          </w:p>
          <w:p w14:paraId="0FBE113D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zintegrowana rączka do ustawienia położenia czaszy,</w:t>
            </w:r>
          </w:p>
          <w:p w14:paraId="09A7FA4D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długość kabla zasilającego: 3,8 m,</w:t>
            </w:r>
          </w:p>
          <w:p w14:paraId="0C3A04BD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długość gęsiej szyi: 70 cm,</w:t>
            </w:r>
          </w:p>
          <w:p w14:paraId="28D472F2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jedno kółko z blokadą,</w:t>
            </w:r>
          </w:p>
          <w:p w14:paraId="794A6ECC" w14:textId="77777777" w:rsidR="004D638E" w:rsidRPr="00BC610B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BC610B">
              <w:rPr>
                <w:rFonts w:eastAsia="Times New Roman" w:cstheme="minorHAnsi"/>
                <w:lang w:eastAsia="pl-PL"/>
              </w:rPr>
              <w:t>lampa posiada certyfikat CE,</w:t>
            </w:r>
          </w:p>
          <w:p w14:paraId="61B11A66" w14:textId="378993DA" w:rsidR="004D638E" w:rsidRPr="009D3E0E" w:rsidRDefault="004D638E" w:rsidP="004D638E">
            <w:pPr>
              <w:pStyle w:val="Bezodstpw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BC610B">
              <w:rPr>
                <w:rFonts w:eastAsia="Times New Roman" w:cstheme="minorHAnsi"/>
                <w:lang w:eastAsia="pl-PL"/>
              </w:rPr>
              <w:t>w zestawie metalowy wózek jezdny o stabilnej podstawie z regulacją wysokości od 72,8 do 129,8 cm</w:t>
            </w:r>
          </w:p>
        </w:tc>
      </w:tr>
      <w:tr w:rsidR="004D638E" w:rsidRPr="009D3E0E" w14:paraId="190CE1F9" w14:textId="77777777" w:rsidTr="00E2660D">
        <w:tc>
          <w:tcPr>
            <w:tcW w:w="900" w:type="dxa"/>
          </w:tcPr>
          <w:p w14:paraId="7CD1FDEA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lastRenderedPageBreak/>
              <w:t>13</w:t>
            </w:r>
          </w:p>
        </w:tc>
        <w:tc>
          <w:tcPr>
            <w:tcW w:w="2747" w:type="dxa"/>
          </w:tcPr>
          <w:p w14:paraId="1F07018E" w14:textId="33F9E2E5" w:rsidR="004D638E" w:rsidRPr="009D3E0E" w:rsidRDefault="004D638E" w:rsidP="004D638E">
            <w:pPr>
              <w:spacing w:line="276" w:lineRule="auto"/>
            </w:pPr>
            <w:r w:rsidRPr="009D3E0E">
              <w:t xml:space="preserve">lampa </w:t>
            </w:r>
            <w:proofErr w:type="spellStart"/>
            <w:r w:rsidRPr="009D3E0E">
              <w:t>naczołowa</w:t>
            </w:r>
            <w:proofErr w:type="spellEnd"/>
            <w:r w:rsidRPr="009D3E0E">
              <w:t xml:space="preserve"> diagnostyczna</w:t>
            </w:r>
          </w:p>
        </w:tc>
        <w:tc>
          <w:tcPr>
            <w:tcW w:w="1329" w:type="dxa"/>
          </w:tcPr>
          <w:p w14:paraId="6AD36EB0" w14:textId="148236B9" w:rsidR="004D638E" w:rsidRPr="009D3E0E" w:rsidRDefault="004D638E" w:rsidP="004D638E">
            <w:pPr>
              <w:spacing w:line="276" w:lineRule="auto"/>
              <w:jc w:val="center"/>
              <w:rPr>
                <w:rFonts w:cstheme="minorHAnsi"/>
              </w:rPr>
            </w:pPr>
            <w:r w:rsidRPr="009D3E0E">
              <w:rPr>
                <w:rFonts w:cstheme="minorHAnsi"/>
              </w:rPr>
              <w:t>2 szt.</w:t>
            </w:r>
          </w:p>
        </w:tc>
        <w:tc>
          <w:tcPr>
            <w:tcW w:w="9053" w:type="dxa"/>
          </w:tcPr>
          <w:p w14:paraId="627A0E47" w14:textId="77777777" w:rsidR="004D638E" w:rsidRPr="00D57A3D" w:rsidRDefault="004D638E" w:rsidP="004D638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3B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Lekka Bezprzewodowa Lampa Czołowa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57A3D">
              <w:rPr>
                <w:rFonts w:asciiTheme="minorHAnsi" w:hAnsiTheme="minorHAnsi" w:cstheme="minorHAnsi"/>
                <w:sz w:val="22"/>
                <w:szCs w:val="22"/>
              </w:rPr>
              <w:t>ze światłem LED, prosta w obsłudze, o szerokim polu stosowania, mocowana na miękkiej opasce umożliwiającej łatwiejsze przenoszenie i przechowywanie.</w:t>
            </w:r>
          </w:p>
          <w:p w14:paraId="7F82A709" w14:textId="77777777" w:rsidR="004D638E" w:rsidRPr="00D57A3D" w:rsidRDefault="004D638E" w:rsidP="004D63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D57A3D">
              <w:rPr>
                <w:rFonts w:cstheme="minorHAnsi"/>
              </w:rPr>
              <w:t>silne światło LED doskonale oświetla oglądane pole,</w:t>
            </w:r>
          </w:p>
          <w:p w14:paraId="524EFE07" w14:textId="77777777" w:rsidR="004D638E" w:rsidRPr="00D57A3D" w:rsidRDefault="004D638E" w:rsidP="004D63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D57A3D">
              <w:rPr>
                <w:rFonts w:cstheme="minorHAnsi"/>
              </w:rPr>
              <w:t>regulowana wielkość plamy świetlnej od 8-20 mm przy 40 cm odległości roboczej.</w:t>
            </w:r>
          </w:p>
          <w:p w14:paraId="3B7432D4" w14:textId="77777777" w:rsidR="004D638E" w:rsidRPr="00D57A3D" w:rsidRDefault="004D638E" w:rsidP="004D63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D57A3D">
              <w:rPr>
                <w:rFonts w:cstheme="minorHAnsi"/>
              </w:rPr>
              <w:t xml:space="preserve">strumień białego światła 700 razy silniejszy w porównaniu z tradycyjną żarówką, temperatura barwowa 5500 </w:t>
            </w:r>
            <w:proofErr w:type="spellStart"/>
            <w:r w:rsidRPr="00D57A3D">
              <w:rPr>
                <w:rFonts w:cstheme="minorHAnsi"/>
              </w:rPr>
              <w:t>kelvina</w:t>
            </w:r>
            <w:proofErr w:type="spellEnd"/>
          </w:p>
          <w:p w14:paraId="73CEB226" w14:textId="77777777" w:rsidR="004D638E" w:rsidRPr="00D57A3D" w:rsidRDefault="004D638E" w:rsidP="004D63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D57A3D">
              <w:rPr>
                <w:rFonts w:cstheme="minorHAnsi"/>
              </w:rPr>
              <w:t>zasilanie USB, akumulator wewnątrz lampy. Ogniwa akumulatora Li-</w:t>
            </w:r>
            <w:proofErr w:type="spellStart"/>
            <w:r w:rsidRPr="00D57A3D">
              <w:rPr>
                <w:rFonts w:cstheme="minorHAnsi"/>
              </w:rPr>
              <w:t>Ion</w:t>
            </w:r>
            <w:proofErr w:type="spellEnd"/>
            <w:r w:rsidRPr="00D57A3D">
              <w:rPr>
                <w:rFonts w:cstheme="minorHAnsi"/>
              </w:rPr>
              <w:t xml:space="preserve"> bez pamięci pozwalają na dowolny czas ładowania bez obawy uszkodzenia akumulatora. Ładowanie może odbywać się poprzez dowolną ładowarkę USB (standard micro USB typ B) - komputer, ładowarka do telefonu komórkowego - ładowarka nie jest w komplecie.</w:t>
            </w:r>
          </w:p>
          <w:p w14:paraId="06DAF59B" w14:textId="5B95526A" w:rsidR="004D638E" w:rsidRPr="009D3E0E" w:rsidRDefault="004D638E" w:rsidP="004D63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D57A3D">
              <w:rPr>
                <w:rFonts w:cstheme="minorHAnsi"/>
              </w:rPr>
              <w:t>obudowa lampy powstała z trwałych kompozytów węglowych.</w:t>
            </w:r>
          </w:p>
        </w:tc>
      </w:tr>
      <w:tr w:rsidR="004D638E" w:rsidRPr="009D3E0E" w14:paraId="7AC16CA8" w14:textId="77777777" w:rsidTr="00E2660D">
        <w:tc>
          <w:tcPr>
            <w:tcW w:w="900" w:type="dxa"/>
          </w:tcPr>
          <w:p w14:paraId="1E45DCCF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14</w:t>
            </w:r>
          </w:p>
        </w:tc>
        <w:tc>
          <w:tcPr>
            <w:tcW w:w="2747" w:type="dxa"/>
          </w:tcPr>
          <w:p w14:paraId="7934B262" w14:textId="0A879B08" w:rsidR="004D638E" w:rsidRPr="009D3E0E" w:rsidRDefault="004D638E" w:rsidP="004D638E">
            <w:pPr>
              <w:spacing w:line="276" w:lineRule="auto"/>
            </w:pPr>
            <w:r w:rsidRPr="009D3E0E">
              <w:t>lupa elektroniczna /powiększalnik z monitorem LCD</w:t>
            </w:r>
          </w:p>
        </w:tc>
        <w:tc>
          <w:tcPr>
            <w:tcW w:w="1329" w:type="dxa"/>
          </w:tcPr>
          <w:p w14:paraId="75AC5ADA" w14:textId="0F533250" w:rsidR="004D638E" w:rsidRPr="009D3E0E" w:rsidRDefault="004D638E" w:rsidP="004D638E">
            <w:pPr>
              <w:spacing w:line="276" w:lineRule="auto"/>
              <w:jc w:val="center"/>
              <w:rPr>
                <w:rFonts w:cstheme="minorHAnsi"/>
              </w:rPr>
            </w:pPr>
            <w:r w:rsidRPr="009D3E0E">
              <w:t>1 szt.</w:t>
            </w:r>
          </w:p>
        </w:tc>
        <w:tc>
          <w:tcPr>
            <w:tcW w:w="9053" w:type="dxa"/>
          </w:tcPr>
          <w:p w14:paraId="101B1A02" w14:textId="05BDE794" w:rsidR="004D638E" w:rsidRPr="009D3E0E" w:rsidRDefault="004D638E" w:rsidP="004D63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2A2764">
              <w:rPr>
                <w:b/>
                <w:bCs/>
              </w:rPr>
              <w:t>Lekka przenośna lupa elektroniczna klasy HD</w:t>
            </w:r>
            <w:r>
              <w:t xml:space="preserve">, która wyposażona jest w nową kamerę HD, zapewniającą ostry, wyraźny, kolorowy obraz w wysokiej rozdzielczości. Regulowane powiększenie od 1,25x do 13,5x (do 20x w trybie rozszerzonego powiększenia), duże dotykowe przyciski z wypukłymi kropkami ,    regulowana jasność z funkcją włączania/wyłączania podświetlenia,        wielofunkcyjny uchwyt pozwala na użytkowanie w różnych pozycjach,     akumulator zapewniający do 3 godzin ciągłej pracy. </w:t>
            </w:r>
            <w:r w:rsidRPr="007D22F8">
              <w:t xml:space="preserve">Lupa </w:t>
            </w:r>
            <w:r w:rsidRPr="007D22F8">
              <w:lastRenderedPageBreak/>
              <w:t>dedykowana m.in. dla osób z osłabionym wzrokiem dla ułatwienia im odczytywania m.in. dokumentacji medycznej</w:t>
            </w:r>
            <w:r>
              <w:t>.</w:t>
            </w:r>
          </w:p>
        </w:tc>
      </w:tr>
      <w:tr w:rsidR="004D638E" w:rsidRPr="009D3E0E" w14:paraId="78198824" w14:textId="77777777" w:rsidTr="00E2660D">
        <w:tc>
          <w:tcPr>
            <w:tcW w:w="900" w:type="dxa"/>
          </w:tcPr>
          <w:p w14:paraId="69725021" w14:textId="77777777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lastRenderedPageBreak/>
              <w:t>15</w:t>
            </w:r>
          </w:p>
        </w:tc>
        <w:tc>
          <w:tcPr>
            <w:tcW w:w="2747" w:type="dxa"/>
          </w:tcPr>
          <w:p w14:paraId="6178FFCB" w14:textId="6169DB4D" w:rsidR="004D638E" w:rsidRPr="009D3E0E" w:rsidRDefault="004D638E" w:rsidP="004D638E">
            <w:pPr>
              <w:spacing w:line="276" w:lineRule="auto"/>
            </w:pPr>
            <w:r w:rsidRPr="009D3E0E">
              <w:t>multimedialny wyświetlacz elektroniczny</w:t>
            </w:r>
          </w:p>
        </w:tc>
        <w:tc>
          <w:tcPr>
            <w:tcW w:w="1329" w:type="dxa"/>
          </w:tcPr>
          <w:p w14:paraId="79F9E79C" w14:textId="350EFE34" w:rsidR="004D638E" w:rsidRPr="009D3E0E" w:rsidRDefault="004D638E" w:rsidP="004D638E">
            <w:pPr>
              <w:spacing w:line="276" w:lineRule="auto"/>
              <w:jc w:val="center"/>
            </w:pPr>
            <w:r w:rsidRPr="009D3E0E">
              <w:t>1 szt.</w:t>
            </w:r>
          </w:p>
        </w:tc>
        <w:tc>
          <w:tcPr>
            <w:tcW w:w="9053" w:type="dxa"/>
          </w:tcPr>
          <w:p w14:paraId="033735D9" w14:textId="1B3AD394" w:rsidR="004D638E" w:rsidRPr="009D3E0E" w:rsidRDefault="004D638E" w:rsidP="004D638E">
            <w:pPr>
              <w:pStyle w:val="Bezodstpw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3B403F">
              <w:rPr>
                <w:b/>
                <w:bCs/>
              </w:rPr>
              <w:t>M</w:t>
            </w:r>
            <w:r w:rsidRPr="009D3E0E">
              <w:rPr>
                <w:b/>
                <w:bCs/>
              </w:rPr>
              <w:t>ultimedialny wyświetlacz elektroniczn</w:t>
            </w:r>
            <w:r w:rsidRPr="009D3E0E">
              <w:t xml:space="preserve">y </w:t>
            </w:r>
            <w:r>
              <w:t>na który składa się: min. m</w:t>
            </w:r>
            <w:r w:rsidRPr="009D3E0E">
              <w:t>onitor profesjonalny Digital min. 43",</w:t>
            </w:r>
            <w:r>
              <w:t xml:space="preserve"> Oprogramowanie -licencja dożywotnia, Stojak </w:t>
            </w:r>
            <w:r w:rsidRPr="00102349">
              <w:t>na kółkach. Cel multimedialnego wyświetlacza oraz tablicy ogłoszeniowej : dla ułatwienia komunikacji z osobami z niepełnosprawnościami (m.in. określenie lokalizacji gabinetów). Montaż urządzeń będzie umożliwiał przemieszczenie wyświetlacza i tablicy w ramach POZ w optymalnej lokalizacji dla pacjentów z niepełnosprawnościami.</w:t>
            </w:r>
          </w:p>
        </w:tc>
      </w:tr>
    </w:tbl>
    <w:p w14:paraId="132788E1" w14:textId="77777777" w:rsidR="007F0A42" w:rsidRPr="006F3ADE" w:rsidRDefault="007F0A42" w:rsidP="009D0F7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pacing w:val="-4"/>
        </w:rPr>
      </w:pPr>
      <w:bookmarkStart w:id="0" w:name="_GoBack"/>
      <w:bookmarkEnd w:id="0"/>
    </w:p>
    <w:sectPr w:rsidR="007F0A42" w:rsidRPr="006F3ADE" w:rsidSect="009F4FE3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15E47" w14:textId="77777777" w:rsidR="00F21A66" w:rsidRDefault="00F21A66" w:rsidP="00341433">
      <w:pPr>
        <w:spacing w:after="0" w:line="240" w:lineRule="auto"/>
      </w:pPr>
      <w:r>
        <w:separator/>
      </w:r>
    </w:p>
  </w:endnote>
  <w:endnote w:type="continuationSeparator" w:id="0">
    <w:p w14:paraId="1A983475" w14:textId="77777777" w:rsidR="00F21A66" w:rsidRDefault="00F21A66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6BEA8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96A81" w14:textId="77777777" w:rsidR="00F21A66" w:rsidRDefault="00F21A66" w:rsidP="00341433">
      <w:pPr>
        <w:spacing w:after="0" w:line="240" w:lineRule="auto"/>
      </w:pPr>
      <w:r>
        <w:separator/>
      </w:r>
    </w:p>
  </w:footnote>
  <w:footnote w:type="continuationSeparator" w:id="0">
    <w:p w14:paraId="723D2B3B" w14:textId="77777777" w:rsidR="00F21A66" w:rsidRDefault="00F21A66" w:rsidP="0034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E360B" w14:textId="77777777" w:rsidR="00876704" w:rsidRDefault="00876704">
    <w:pPr>
      <w:pStyle w:val="Nagwek"/>
    </w:pPr>
  </w:p>
  <w:p w14:paraId="224C4B2B" w14:textId="77777777" w:rsidR="00876704" w:rsidRDefault="00876704">
    <w:pPr>
      <w:pStyle w:val="Nagwek"/>
    </w:pPr>
  </w:p>
  <w:p w14:paraId="63EC7E2C" w14:textId="77777777" w:rsidR="00876704" w:rsidRDefault="00876704">
    <w:pPr>
      <w:pStyle w:val="Nagwek"/>
    </w:pPr>
  </w:p>
  <w:p w14:paraId="02B137C1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67E3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097DCFF9" wp14:editId="3AA037D5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050DE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0A8B59F3" w14:textId="77777777" w:rsidR="00876704" w:rsidRDefault="00876704">
    <w:pPr>
      <w:pStyle w:val="Nagwek"/>
    </w:pPr>
  </w:p>
  <w:p w14:paraId="1F067826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6758"/>
    <w:multiLevelType w:val="multilevel"/>
    <w:tmpl w:val="F60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E5DF8"/>
    <w:multiLevelType w:val="multilevel"/>
    <w:tmpl w:val="61AE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77EC2"/>
    <w:multiLevelType w:val="multilevel"/>
    <w:tmpl w:val="6F8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379EF"/>
    <w:multiLevelType w:val="multilevel"/>
    <w:tmpl w:val="0BCA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658B9"/>
    <w:multiLevelType w:val="multilevel"/>
    <w:tmpl w:val="DA0A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0297D"/>
    <w:rsid w:val="00026817"/>
    <w:rsid w:val="000416F7"/>
    <w:rsid w:val="00044AEC"/>
    <w:rsid w:val="0006330C"/>
    <w:rsid w:val="0008089F"/>
    <w:rsid w:val="00081926"/>
    <w:rsid w:val="0009467E"/>
    <w:rsid w:val="00096832"/>
    <w:rsid w:val="000A05C8"/>
    <w:rsid w:val="000A287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02AE6"/>
    <w:rsid w:val="0011068D"/>
    <w:rsid w:val="001353B4"/>
    <w:rsid w:val="001402FC"/>
    <w:rsid w:val="00140BE2"/>
    <w:rsid w:val="00145478"/>
    <w:rsid w:val="00145EB6"/>
    <w:rsid w:val="0015279E"/>
    <w:rsid w:val="001531DC"/>
    <w:rsid w:val="00161220"/>
    <w:rsid w:val="00184868"/>
    <w:rsid w:val="001B7CB8"/>
    <w:rsid w:val="001C1EF0"/>
    <w:rsid w:val="001D7492"/>
    <w:rsid w:val="001E5033"/>
    <w:rsid w:val="0021234A"/>
    <w:rsid w:val="002218EC"/>
    <w:rsid w:val="0024049A"/>
    <w:rsid w:val="00245FFA"/>
    <w:rsid w:val="00247F72"/>
    <w:rsid w:val="00256247"/>
    <w:rsid w:val="00261387"/>
    <w:rsid w:val="002F319F"/>
    <w:rsid w:val="00302E85"/>
    <w:rsid w:val="00321483"/>
    <w:rsid w:val="0032327D"/>
    <w:rsid w:val="0033392F"/>
    <w:rsid w:val="00341433"/>
    <w:rsid w:val="00342AD3"/>
    <w:rsid w:val="0034349F"/>
    <w:rsid w:val="0037383E"/>
    <w:rsid w:val="00394A2B"/>
    <w:rsid w:val="003A65C2"/>
    <w:rsid w:val="003B17A5"/>
    <w:rsid w:val="003D245E"/>
    <w:rsid w:val="00403068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638E"/>
    <w:rsid w:val="004F4E62"/>
    <w:rsid w:val="0050187D"/>
    <w:rsid w:val="00516F9C"/>
    <w:rsid w:val="005220D1"/>
    <w:rsid w:val="00530EA3"/>
    <w:rsid w:val="0053136D"/>
    <w:rsid w:val="00536B15"/>
    <w:rsid w:val="00546AC7"/>
    <w:rsid w:val="00560E98"/>
    <w:rsid w:val="005714A8"/>
    <w:rsid w:val="005870FD"/>
    <w:rsid w:val="005958CE"/>
    <w:rsid w:val="005B389A"/>
    <w:rsid w:val="005E6C37"/>
    <w:rsid w:val="005E788A"/>
    <w:rsid w:val="005F086A"/>
    <w:rsid w:val="005F7776"/>
    <w:rsid w:val="00617D0B"/>
    <w:rsid w:val="00621DA2"/>
    <w:rsid w:val="00624232"/>
    <w:rsid w:val="00631CF4"/>
    <w:rsid w:val="00634FEB"/>
    <w:rsid w:val="00641182"/>
    <w:rsid w:val="00643001"/>
    <w:rsid w:val="00646478"/>
    <w:rsid w:val="00655D5B"/>
    <w:rsid w:val="00667952"/>
    <w:rsid w:val="00667DA8"/>
    <w:rsid w:val="00680FDE"/>
    <w:rsid w:val="00681568"/>
    <w:rsid w:val="006D1AEA"/>
    <w:rsid w:val="006D3AC1"/>
    <w:rsid w:val="006F051F"/>
    <w:rsid w:val="006F3ADE"/>
    <w:rsid w:val="006F4739"/>
    <w:rsid w:val="007031F9"/>
    <w:rsid w:val="00703A19"/>
    <w:rsid w:val="00705CF8"/>
    <w:rsid w:val="00731ADF"/>
    <w:rsid w:val="00751EBE"/>
    <w:rsid w:val="00752ACE"/>
    <w:rsid w:val="007560F0"/>
    <w:rsid w:val="007567A6"/>
    <w:rsid w:val="00757469"/>
    <w:rsid w:val="00760991"/>
    <w:rsid w:val="007648D1"/>
    <w:rsid w:val="007713E6"/>
    <w:rsid w:val="007837DB"/>
    <w:rsid w:val="0078570D"/>
    <w:rsid w:val="007964D3"/>
    <w:rsid w:val="007A165D"/>
    <w:rsid w:val="007B17FE"/>
    <w:rsid w:val="007C2B78"/>
    <w:rsid w:val="007C6A9B"/>
    <w:rsid w:val="007D461C"/>
    <w:rsid w:val="007E305F"/>
    <w:rsid w:val="007F0A42"/>
    <w:rsid w:val="007F71B9"/>
    <w:rsid w:val="00803CFA"/>
    <w:rsid w:val="00805EE5"/>
    <w:rsid w:val="00835625"/>
    <w:rsid w:val="00851475"/>
    <w:rsid w:val="00876704"/>
    <w:rsid w:val="0088001C"/>
    <w:rsid w:val="00890691"/>
    <w:rsid w:val="008A634E"/>
    <w:rsid w:val="008B2F38"/>
    <w:rsid w:val="008C376F"/>
    <w:rsid w:val="008E5483"/>
    <w:rsid w:val="008F194D"/>
    <w:rsid w:val="00903154"/>
    <w:rsid w:val="00904C3C"/>
    <w:rsid w:val="00905BEE"/>
    <w:rsid w:val="0091706E"/>
    <w:rsid w:val="00934F9F"/>
    <w:rsid w:val="00935F30"/>
    <w:rsid w:val="00940CCD"/>
    <w:rsid w:val="00950AFA"/>
    <w:rsid w:val="00952D5B"/>
    <w:rsid w:val="00954A07"/>
    <w:rsid w:val="0095790F"/>
    <w:rsid w:val="00964F21"/>
    <w:rsid w:val="0097665D"/>
    <w:rsid w:val="009828C5"/>
    <w:rsid w:val="00983350"/>
    <w:rsid w:val="009A439E"/>
    <w:rsid w:val="009A4E2C"/>
    <w:rsid w:val="009A6C0D"/>
    <w:rsid w:val="009C3CE2"/>
    <w:rsid w:val="009D0F70"/>
    <w:rsid w:val="009D1CCF"/>
    <w:rsid w:val="009D7408"/>
    <w:rsid w:val="009E3F83"/>
    <w:rsid w:val="009E51C6"/>
    <w:rsid w:val="009F4FE3"/>
    <w:rsid w:val="009F5B80"/>
    <w:rsid w:val="009F77F7"/>
    <w:rsid w:val="00A0472A"/>
    <w:rsid w:val="00A3270D"/>
    <w:rsid w:val="00A377E2"/>
    <w:rsid w:val="00A37B11"/>
    <w:rsid w:val="00A57FCC"/>
    <w:rsid w:val="00A65359"/>
    <w:rsid w:val="00A67A44"/>
    <w:rsid w:val="00A71AA0"/>
    <w:rsid w:val="00A736FE"/>
    <w:rsid w:val="00AA4874"/>
    <w:rsid w:val="00AB4885"/>
    <w:rsid w:val="00AD1CDA"/>
    <w:rsid w:val="00AF4BF6"/>
    <w:rsid w:val="00B11CB1"/>
    <w:rsid w:val="00B21019"/>
    <w:rsid w:val="00B24A6C"/>
    <w:rsid w:val="00B553E8"/>
    <w:rsid w:val="00B60136"/>
    <w:rsid w:val="00B7352F"/>
    <w:rsid w:val="00BA45E5"/>
    <w:rsid w:val="00BB3C7F"/>
    <w:rsid w:val="00BB75D8"/>
    <w:rsid w:val="00BC01C5"/>
    <w:rsid w:val="00BC505A"/>
    <w:rsid w:val="00BD5461"/>
    <w:rsid w:val="00BF0E58"/>
    <w:rsid w:val="00C01220"/>
    <w:rsid w:val="00C40B29"/>
    <w:rsid w:val="00C727E2"/>
    <w:rsid w:val="00C82537"/>
    <w:rsid w:val="00C94072"/>
    <w:rsid w:val="00CA5D93"/>
    <w:rsid w:val="00CC50F2"/>
    <w:rsid w:val="00CC54B6"/>
    <w:rsid w:val="00CD44E9"/>
    <w:rsid w:val="00D07216"/>
    <w:rsid w:val="00D332C2"/>
    <w:rsid w:val="00D4394D"/>
    <w:rsid w:val="00D5023C"/>
    <w:rsid w:val="00D56D37"/>
    <w:rsid w:val="00D80505"/>
    <w:rsid w:val="00D8063B"/>
    <w:rsid w:val="00D8499A"/>
    <w:rsid w:val="00DB7044"/>
    <w:rsid w:val="00DC5082"/>
    <w:rsid w:val="00DE50CB"/>
    <w:rsid w:val="00E16D6D"/>
    <w:rsid w:val="00E2179C"/>
    <w:rsid w:val="00E2660D"/>
    <w:rsid w:val="00E41F50"/>
    <w:rsid w:val="00E467BB"/>
    <w:rsid w:val="00E524E4"/>
    <w:rsid w:val="00E67406"/>
    <w:rsid w:val="00E744F9"/>
    <w:rsid w:val="00E77BEC"/>
    <w:rsid w:val="00EB3C54"/>
    <w:rsid w:val="00EB6A82"/>
    <w:rsid w:val="00EC1396"/>
    <w:rsid w:val="00EF6A93"/>
    <w:rsid w:val="00F04931"/>
    <w:rsid w:val="00F21A66"/>
    <w:rsid w:val="00F449F5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1836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character" w:customStyle="1" w:styleId="markedcontent">
    <w:name w:val="markedcontent"/>
    <w:basedOn w:val="Domylnaczcionkaakapitu"/>
    <w:rsid w:val="00D332C2"/>
  </w:style>
  <w:style w:type="paragraph" w:customStyle="1" w:styleId="gwp718f8447msonormal">
    <w:name w:val="gwp718f8447_msonormal"/>
    <w:basedOn w:val="Normalny"/>
    <w:rsid w:val="009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18f8447msonospacing">
    <w:name w:val="gwp718f8447_msonospacing"/>
    <w:basedOn w:val="Normalny"/>
    <w:rsid w:val="009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660D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4</cp:revision>
  <dcterms:created xsi:type="dcterms:W3CDTF">2023-06-12T08:44:00Z</dcterms:created>
  <dcterms:modified xsi:type="dcterms:W3CDTF">2023-06-15T08:33:00Z</dcterms:modified>
</cp:coreProperties>
</file>